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720" w:firstLineChars="200"/>
        <w:rPr>
          <w:rFonts w:hint="eastAsia" w:ascii="方正大标宋简体" w:eastAsia="方正大标宋简体"/>
          <w:sz w:val="36"/>
          <w:szCs w:val="36"/>
        </w:rPr>
      </w:pPr>
      <w:r>
        <w:rPr>
          <w:rFonts w:hint="eastAsia" w:ascii="方正大标宋简体" w:eastAsia="方正大标宋简体"/>
          <w:sz w:val="36"/>
          <w:szCs w:val="36"/>
        </w:rPr>
        <w:t>理性投资专栏 | 风险提示案例之虚假申报</w:t>
      </w:r>
    </w:p>
    <w:p>
      <w:pPr>
        <w:widowControl/>
        <w:jc w:val="center"/>
        <w:rPr>
          <w:rFonts w:hint="eastAsia" w:ascii="仿宋" w:hAnsi="仿宋" w:eastAsia="仿宋" w:cs="宋体"/>
          <w:b/>
          <w:bCs/>
          <w:kern w:val="0"/>
          <w:sz w:val="32"/>
          <w:szCs w:val="32"/>
        </w:rPr>
      </w:pPr>
    </w:p>
    <w:p>
      <w:pPr>
        <w:spacing w:line="560" w:lineRule="exact"/>
        <w:ind w:firstLine="640" w:firstLineChars="200"/>
        <w:jc w:val="center"/>
        <w:rPr>
          <w:rFonts w:eastAsia="仿宋"/>
          <w:sz w:val="32"/>
          <w:szCs w:val="30"/>
        </w:rPr>
      </w:pPr>
      <w:r>
        <w:rPr>
          <w:rFonts w:hint="eastAsia" w:eastAsia="仿宋"/>
          <w:sz w:val="32"/>
          <w:szCs w:val="30"/>
        </w:rPr>
        <w:t>【</w:t>
      </w:r>
      <w:r>
        <w:rPr>
          <w:rFonts w:hint="eastAsia" w:ascii="黑体" w:hAnsi="黑体" w:eastAsia="黑体"/>
          <w:sz w:val="32"/>
          <w:szCs w:val="30"/>
        </w:rPr>
        <w:t>案情摘要</w:t>
      </w:r>
      <w:r>
        <w:rPr>
          <w:rFonts w:hint="eastAsia" w:eastAsia="仿宋"/>
          <w:sz w:val="32"/>
          <w:szCs w:val="30"/>
        </w:rPr>
        <w:t>】</w:t>
      </w:r>
    </w:p>
    <w:p>
      <w:pPr>
        <w:widowControl/>
        <w:ind w:firstLine="640" w:firstLineChars="200"/>
        <w:jc w:val="left"/>
        <w:rPr>
          <w:rFonts w:ascii="仿宋" w:hAnsi="仿宋" w:eastAsia="仿宋" w:cs="宋体"/>
          <w:kern w:val="0"/>
          <w:sz w:val="32"/>
          <w:szCs w:val="32"/>
        </w:rPr>
      </w:pPr>
      <w:r>
        <w:rPr>
          <w:rFonts w:ascii="仿宋" w:hAnsi="仿宋" w:eastAsia="仿宋" w:cs="宋体"/>
          <w:kern w:val="0"/>
          <w:sz w:val="32"/>
          <w:szCs w:val="32"/>
        </w:rPr>
        <w:t>某账户在交易某精选层股票时，于连续竞价阶9:56:52至10:08:55期间，在最优5档内申报买入19笔，合计申报69.99万股、2235.6万元，占市场同方向最优5档剩余有效申报总量的比例较高，并全部撤销。从申报行为来看，该账户多次、大量以低于行情揭示的最近成交价申报，并在短时间内快速撤单；从申报价格来看，该账户的多次申报价格均为全市场投资者都能看到的5档以内的价格。此外，该账户还与其涉嫌关联的其他账户存在反向卖出行为。综合该账户申报价格、剩余有效申报数量、撤单比例、账户组内其他账户反向交易行为，对该账户采取了相应监管措施。</w:t>
      </w:r>
    </w:p>
    <w:p>
      <w:pPr>
        <w:widowControl/>
        <w:jc w:val="left"/>
        <w:rPr>
          <w:rFonts w:ascii="仿宋" w:hAnsi="仿宋" w:eastAsia="仿宋" w:cs="宋体"/>
          <w:kern w:val="0"/>
          <w:sz w:val="32"/>
          <w:szCs w:val="32"/>
        </w:rPr>
      </w:pPr>
      <w:r>
        <w:rPr>
          <w:rFonts w:ascii="仿宋" w:hAnsi="仿宋" w:eastAsia="仿宋" w:cs="宋体"/>
          <w:kern w:val="0"/>
          <w:sz w:val="32"/>
          <w:szCs w:val="32"/>
        </w:rPr>
        <mc:AlternateContent>
          <mc:Choice Requires="wps">
            <w:drawing>
              <wp:inline distT="0" distB="0" distL="0" distR="0">
                <wp:extent cx="304800" cy="304800"/>
                <wp:effectExtent l="0" t="0" r="0" b="0"/>
                <wp:docPr id="2"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alt="图片"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HzJZ00gAAAAMBAAAPAAAAAAAAAAEAIAAAACIAAABkcnMvZG93bnJldi54bWxQ&#10;SwECFAAUAAAACACHTuJAwmxCs/0BAADQAwAADgAAAAAAAAABACAAAAAhAQAAZHJzL2Uyb0RvYy54&#10;bWxQSwUGAAAAAAYABgBZAQAAkAUAAAAA&#10;">
                <v:fill on="f" focussize="0,0"/>
                <v:stroke on="f"/>
                <v:imagedata o:title=""/>
                <o:lock v:ext="edit" aspectratio="t"/>
                <w10:wrap type="none"/>
                <w10:anchorlock/>
              </v:rect>
            </w:pict>
          </mc:Fallback>
        </mc:AlternateContent>
      </w:r>
    </w:p>
    <w:p>
      <w:pPr>
        <w:spacing w:line="560" w:lineRule="exact"/>
        <w:ind w:firstLine="640" w:firstLineChars="200"/>
        <w:jc w:val="center"/>
        <w:rPr>
          <w:rFonts w:eastAsia="仿宋"/>
          <w:sz w:val="32"/>
          <w:szCs w:val="30"/>
        </w:rPr>
      </w:pPr>
      <w:r>
        <w:rPr>
          <w:rFonts w:hint="eastAsia" w:eastAsia="仿宋"/>
          <w:sz w:val="32"/>
          <w:szCs w:val="30"/>
        </w:rPr>
        <w:t>【</w:t>
      </w:r>
      <w:r>
        <w:rPr>
          <w:rFonts w:hint="eastAsia" w:ascii="黑体" w:hAnsi="黑体" w:eastAsia="黑体"/>
          <w:sz w:val="32"/>
          <w:szCs w:val="30"/>
        </w:rPr>
        <w:t>法律分析</w:t>
      </w:r>
      <w:r>
        <w:rPr>
          <w:rFonts w:hint="eastAsia" w:eastAsia="仿宋"/>
          <w:sz w:val="32"/>
          <w:szCs w:val="30"/>
        </w:rPr>
        <w:t>】</w:t>
      </w:r>
    </w:p>
    <w:p>
      <w:pPr>
        <w:widowControl/>
        <w:ind w:firstLine="640" w:firstLineChars="200"/>
        <w:jc w:val="left"/>
        <w:rPr>
          <w:rFonts w:ascii="仿宋" w:hAnsi="仿宋" w:eastAsia="仿宋" w:cs="宋体"/>
          <w:kern w:val="0"/>
          <w:sz w:val="32"/>
          <w:szCs w:val="32"/>
        </w:rPr>
      </w:pPr>
      <w:r>
        <w:rPr>
          <w:rFonts w:ascii="仿宋" w:hAnsi="仿宋" w:eastAsia="仿宋" w:cs="宋体"/>
          <w:kern w:val="0"/>
          <w:sz w:val="32"/>
          <w:szCs w:val="32"/>
        </w:rPr>
        <w:t>该账户的交易行为违反了《全国中小企业股份转让系统</w:t>
      </w:r>
      <w:r>
        <w:rPr>
          <w:rFonts w:hint="eastAsia" w:ascii="仿宋" w:hAnsi="仿宋" w:eastAsia="仿宋" w:cs="宋体"/>
          <w:kern w:val="0"/>
          <w:sz w:val="32"/>
          <w:szCs w:val="32"/>
          <w:lang w:val="en-US" w:eastAsia="zh-CN"/>
        </w:rPr>
        <w:t>交易</w:t>
      </w:r>
      <w:bookmarkStart w:id="0" w:name="_GoBack"/>
      <w:bookmarkEnd w:id="0"/>
      <w:r>
        <w:rPr>
          <w:rFonts w:ascii="仿宋" w:hAnsi="仿宋" w:eastAsia="仿宋" w:cs="宋体"/>
          <w:kern w:val="0"/>
          <w:sz w:val="32"/>
          <w:szCs w:val="32"/>
        </w:rPr>
        <w:t>规则》关于“频繁申报或撤销申报，或大额申报后撤销申报，以影响股票交易价格或误导其他投资者”的规定。</w:t>
      </w:r>
    </w:p>
    <w:p>
      <w:pPr>
        <w:widowControl/>
        <w:jc w:val="left"/>
        <w:rPr>
          <w:rFonts w:ascii="仿宋" w:hAnsi="仿宋" w:eastAsia="仿宋" w:cs="宋体"/>
          <w:kern w:val="0"/>
          <w:sz w:val="32"/>
          <w:szCs w:val="32"/>
        </w:rPr>
      </w:pPr>
    </w:p>
    <w:p>
      <w:pPr>
        <w:spacing w:line="560" w:lineRule="exact"/>
        <w:ind w:firstLine="640" w:firstLineChars="200"/>
        <w:jc w:val="center"/>
        <w:rPr>
          <w:rFonts w:eastAsia="仿宋"/>
          <w:sz w:val="32"/>
          <w:szCs w:val="30"/>
        </w:rPr>
      </w:pPr>
      <w:r>
        <w:rPr>
          <w:rFonts w:hint="eastAsia" w:eastAsia="仿宋"/>
          <w:sz w:val="32"/>
          <w:szCs w:val="30"/>
        </w:rPr>
        <w:t>【</w:t>
      </w:r>
      <w:r>
        <w:rPr>
          <w:rFonts w:hint="eastAsia" w:ascii="黑体" w:hAnsi="黑体" w:eastAsia="黑体"/>
          <w:sz w:val="32"/>
          <w:szCs w:val="30"/>
        </w:rPr>
        <w:t>风险警示</w:t>
      </w:r>
      <w:r>
        <w:rPr>
          <w:rFonts w:eastAsia="仿宋"/>
          <w:sz w:val="32"/>
          <w:szCs w:val="30"/>
        </w:rPr>
        <w:t>】</w:t>
      </w:r>
    </w:p>
    <w:p>
      <w:pPr>
        <w:widowControl/>
        <w:ind w:firstLine="640" w:firstLineChars="200"/>
        <w:jc w:val="left"/>
        <w:rPr>
          <w:rFonts w:ascii="仿宋" w:hAnsi="仿宋" w:eastAsia="仿宋" w:cs="宋体"/>
          <w:kern w:val="0"/>
          <w:sz w:val="32"/>
          <w:szCs w:val="32"/>
        </w:rPr>
      </w:pPr>
      <w:r>
        <w:rPr>
          <w:rFonts w:ascii="仿宋" w:hAnsi="仿宋" w:eastAsia="仿宋" w:cs="宋体"/>
          <w:kern w:val="0"/>
          <w:sz w:val="32"/>
          <w:szCs w:val="32"/>
        </w:rPr>
        <w:t>证券市场投资者交易需求应具有真实性，真实的交易需求产生的成交量是其他投资者做出交易决策的重要参考。投资者虚假申报行为形成了不真实的交易需求，误导了其他不特定投资者，损害了证券市场的基本功能和其他投资者的合法权益。此类行为是全国股转公司重点监控的交易违规行为，一旦发生将被采取相应监管措施，投资者应当予以重视。</w:t>
      </w: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52F"/>
    <w:rsid w:val="00642E6B"/>
    <w:rsid w:val="00C4452F"/>
    <w:rsid w:val="5EDE5EF4"/>
    <w:rsid w:val="7D917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customStyle="1" w:styleId="7">
    <w:name w:val="标题 1 Char"/>
    <w:basedOn w:val="4"/>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82</Words>
  <Characters>470</Characters>
  <Lines>3</Lines>
  <Paragraphs>1</Paragraphs>
  <TotalTime>1</TotalTime>
  <ScaleCrop>false</ScaleCrop>
  <LinksUpToDate>false</LinksUpToDate>
  <CharactersWithSpaces>551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2021-11-09T12:16:00Z</dcterms:created>
  <dc:creator>anty</dc:creator>
  <cp:lastModifiedBy>Acer</cp:lastModifiedBy>
  <dcterms:modified xsi:type="dcterms:W3CDTF">2021-11-25T06:16:28Z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