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359" w:leftChars="171" w:firstLine="360" w:firstLineChars="100"/>
        <w:jc w:val="center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理性投资专栏 | 风险提示案例之收盘集合竞价对倒交易</w:t>
      </w:r>
    </w:p>
    <w:p>
      <w:pPr>
        <w:spacing w:line="560" w:lineRule="exact"/>
        <w:ind w:left="359" w:leftChars="171" w:firstLine="360" w:firstLineChars="100"/>
        <w:jc w:val="center"/>
        <w:rPr>
          <w:rFonts w:hint="eastAsia" w:ascii="方正大标宋简体" w:eastAsia="方正大标宋简体"/>
          <w:sz w:val="36"/>
          <w:szCs w:val="36"/>
        </w:rPr>
      </w:pPr>
      <w:bookmarkStart w:id="0" w:name="_GoBack"/>
      <w:bookmarkEnd w:id="0"/>
    </w:p>
    <w:p>
      <w:pPr>
        <w:spacing w:line="560" w:lineRule="exact"/>
        <w:jc w:val="center"/>
        <w:rPr>
          <w:rFonts w:eastAsia="仿宋"/>
          <w:sz w:val="32"/>
          <w:szCs w:val="30"/>
        </w:rPr>
      </w:pPr>
      <w:r>
        <w:rPr>
          <w:rFonts w:hint="eastAsia" w:eastAsia="仿宋"/>
          <w:sz w:val="32"/>
          <w:szCs w:val="30"/>
        </w:rPr>
        <w:t>【</w:t>
      </w:r>
      <w:r>
        <w:rPr>
          <w:rFonts w:hint="eastAsia" w:ascii="黑体" w:hAnsi="黑体" w:eastAsia="黑体"/>
          <w:sz w:val="32"/>
          <w:szCs w:val="30"/>
        </w:rPr>
        <w:t>案例简介</w:t>
      </w:r>
      <w:r>
        <w:rPr>
          <w:rFonts w:hint="eastAsia" w:eastAsia="仿宋"/>
          <w:sz w:val="32"/>
          <w:szCs w:val="30"/>
        </w:rPr>
        <w:t>】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某账户与其涉嫌关联的另一账户，在交易某精选层股票时，在收盘</w:t>
      </w:r>
      <w:r>
        <w:rPr>
          <w:rFonts w:ascii="Times New Roman" w:hAnsi="Times New Roman" w:eastAsia="仿宋" w:cs="Times New Roman"/>
          <w:sz w:val="32"/>
          <w:szCs w:val="32"/>
        </w:rPr>
        <w:t>集合竞价阶段</w:t>
      </w:r>
      <w:r>
        <w:rPr>
          <w:rFonts w:hint="eastAsia" w:ascii="Times New Roman" w:hAnsi="Times New Roman" w:eastAsia="仿宋" w:cs="Times New Roman"/>
          <w:sz w:val="32"/>
          <w:szCs w:val="32"/>
        </w:rPr>
        <w:t>大量互为对手方交易，累计对倒14.67万股、</w:t>
      </w:r>
      <w:r>
        <w:rPr>
          <w:rFonts w:ascii="Times New Roman" w:hAnsi="Times New Roman" w:eastAsia="仿宋" w:cs="Times New Roman"/>
          <w:sz w:val="32"/>
          <w:szCs w:val="32"/>
        </w:rPr>
        <w:t>116.36</w:t>
      </w:r>
      <w:r>
        <w:rPr>
          <w:rFonts w:hint="eastAsia" w:ascii="Times New Roman" w:hAnsi="Times New Roman" w:eastAsia="仿宋" w:cs="Times New Roman"/>
          <w:sz w:val="32"/>
          <w:szCs w:val="32"/>
        </w:rPr>
        <w:t>万元，占当日该股收盘</w:t>
      </w:r>
      <w:r>
        <w:rPr>
          <w:rFonts w:ascii="Times New Roman" w:hAnsi="Times New Roman" w:eastAsia="仿宋" w:cs="Times New Roman"/>
          <w:sz w:val="32"/>
          <w:szCs w:val="32"/>
        </w:rPr>
        <w:t>集合竞价阶段成交量</w:t>
      </w:r>
      <w:r>
        <w:rPr>
          <w:rFonts w:hint="eastAsia" w:ascii="Times New Roman" w:hAnsi="Times New Roman" w:eastAsia="仿宋" w:cs="Times New Roman"/>
          <w:sz w:val="32"/>
          <w:szCs w:val="32"/>
        </w:rPr>
        <w:t>的93.4%。</w:t>
      </w:r>
      <w:r>
        <w:rPr>
          <w:rFonts w:ascii="Times New Roman" w:hAnsi="Times New Roman" w:eastAsia="仿宋" w:cs="Times New Roman"/>
          <w:sz w:val="32"/>
          <w:szCs w:val="32"/>
        </w:rPr>
        <w:t>另外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两涉嫌关联账户多日在该只股票及另一只精选层股票交易时</w:t>
      </w:r>
      <w:r>
        <w:rPr>
          <w:rFonts w:hint="eastAsia" w:ascii="Times New Roman" w:hAnsi="Times New Roman" w:eastAsia="仿宋" w:cs="Times New Roman"/>
          <w:sz w:val="32"/>
          <w:szCs w:val="32"/>
        </w:rPr>
        <w:t>存在对倒</w:t>
      </w:r>
      <w:r>
        <w:rPr>
          <w:rFonts w:ascii="Times New Roman" w:hAnsi="Times New Roman" w:eastAsia="仿宋" w:cs="Times New Roman"/>
          <w:sz w:val="32"/>
          <w:szCs w:val="32"/>
        </w:rPr>
        <w:t>交易</w:t>
      </w:r>
      <w:r>
        <w:rPr>
          <w:rFonts w:hint="eastAsia" w:ascii="Times New Roman" w:hAnsi="Times New Roman" w:eastAsia="仿宋" w:cs="Times New Roman"/>
          <w:sz w:val="32"/>
          <w:szCs w:val="32"/>
        </w:rPr>
        <w:t>。鉴于上述情况，</w:t>
      </w:r>
      <w:r>
        <w:rPr>
          <w:rFonts w:ascii="Times New Roman" w:hAnsi="Times New Roman" w:eastAsia="仿宋" w:cs="Times New Roman"/>
          <w:sz w:val="32"/>
          <w:szCs w:val="32"/>
        </w:rPr>
        <w:t>对</w:t>
      </w:r>
      <w:r>
        <w:rPr>
          <w:rFonts w:hint="eastAsia" w:ascii="Times New Roman" w:hAnsi="Times New Roman" w:eastAsia="仿宋" w:cs="Times New Roman"/>
          <w:sz w:val="32"/>
          <w:szCs w:val="32"/>
        </w:rPr>
        <w:t>相关</w:t>
      </w:r>
      <w:r>
        <w:rPr>
          <w:rFonts w:ascii="Times New Roman" w:hAnsi="Times New Roman" w:eastAsia="仿宋" w:cs="Times New Roman"/>
          <w:sz w:val="32"/>
          <w:szCs w:val="32"/>
        </w:rPr>
        <w:t>账户</w:t>
      </w:r>
      <w:r>
        <w:rPr>
          <w:rFonts w:hint="eastAsia" w:ascii="Times New Roman" w:hAnsi="Times New Roman" w:eastAsia="仿宋" w:cs="Times New Roman"/>
          <w:sz w:val="32"/>
          <w:szCs w:val="32"/>
        </w:rPr>
        <w:t>采取了</w:t>
      </w:r>
      <w:r>
        <w:rPr>
          <w:rFonts w:ascii="Times New Roman" w:hAnsi="Times New Roman" w:eastAsia="仿宋" w:cs="Times New Roman"/>
          <w:sz w:val="32"/>
          <w:szCs w:val="32"/>
        </w:rPr>
        <w:t xml:space="preserve">监管措施。 </w:t>
      </w:r>
    </w:p>
    <w:p>
      <w:pPr>
        <w:spacing w:line="560" w:lineRule="exact"/>
        <w:jc w:val="center"/>
        <w:rPr>
          <w:rFonts w:eastAsia="仿宋"/>
          <w:sz w:val="32"/>
          <w:szCs w:val="30"/>
        </w:rPr>
      </w:pPr>
      <w:r>
        <w:rPr>
          <w:rFonts w:hint="eastAsia" w:eastAsia="仿宋"/>
          <w:sz w:val="32"/>
          <w:szCs w:val="30"/>
        </w:rPr>
        <w:t>【</w:t>
      </w:r>
      <w:r>
        <w:rPr>
          <w:rFonts w:hint="eastAsia" w:ascii="黑体" w:hAnsi="黑体" w:eastAsia="黑体"/>
          <w:sz w:val="32"/>
          <w:szCs w:val="30"/>
        </w:rPr>
        <w:t>法律分析</w:t>
      </w:r>
      <w:r>
        <w:rPr>
          <w:rFonts w:hint="eastAsia" w:eastAsia="仿宋"/>
          <w:sz w:val="32"/>
          <w:szCs w:val="30"/>
        </w:rPr>
        <w:t>】</w:t>
      </w:r>
    </w:p>
    <w:p>
      <w:pPr>
        <w:spacing w:line="560" w:lineRule="exact"/>
        <w:ind w:firstLine="640" w:firstLineChars="200"/>
        <w:rPr>
          <w:rFonts w:eastAsia="仿宋"/>
          <w:sz w:val="32"/>
          <w:szCs w:val="30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相关账户</w:t>
      </w:r>
      <w:r>
        <w:rPr>
          <w:rFonts w:ascii="Times New Roman" w:hAnsi="Times New Roman" w:eastAsia="仿宋"/>
          <w:sz w:val="32"/>
          <w:szCs w:val="30"/>
        </w:rPr>
        <w:t>的</w:t>
      </w:r>
      <w:r>
        <w:rPr>
          <w:rFonts w:eastAsia="仿宋"/>
          <w:sz w:val="32"/>
          <w:szCs w:val="30"/>
        </w:rPr>
        <w:t>交易行为违反了</w:t>
      </w:r>
      <w:r>
        <w:rPr>
          <w:rFonts w:hint="eastAsia" w:eastAsia="仿宋"/>
          <w:sz w:val="32"/>
          <w:szCs w:val="30"/>
        </w:rPr>
        <w:t>《全国</w:t>
      </w:r>
      <w:r>
        <w:rPr>
          <w:rFonts w:eastAsia="仿宋"/>
          <w:sz w:val="32"/>
          <w:szCs w:val="30"/>
        </w:rPr>
        <w:t>中小企业股份转让系统</w:t>
      </w:r>
      <w:r>
        <w:rPr>
          <w:rFonts w:hint="eastAsia" w:eastAsia="仿宋"/>
          <w:sz w:val="32"/>
          <w:szCs w:val="30"/>
        </w:rPr>
        <w:t>交易规则》关于“单个证券账户，或两个以上固定的或涉嫌关联的证券账户之间，大量或频繁进行反向交易”的规定</w:t>
      </w:r>
      <w:r>
        <w:rPr>
          <w:rFonts w:eastAsia="仿宋"/>
          <w:sz w:val="32"/>
          <w:szCs w:val="30"/>
        </w:rPr>
        <w:t>。</w:t>
      </w:r>
    </w:p>
    <w:p>
      <w:pPr>
        <w:spacing w:line="560" w:lineRule="exact"/>
        <w:jc w:val="center"/>
        <w:rPr>
          <w:rFonts w:eastAsia="仿宋"/>
          <w:sz w:val="32"/>
          <w:szCs w:val="30"/>
        </w:rPr>
      </w:pPr>
      <w:r>
        <w:rPr>
          <w:rFonts w:hint="eastAsia" w:eastAsia="仿宋"/>
          <w:sz w:val="32"/>
          <w:szCs w:val="30"/>
        </w:rPr>
        <w:t>【</w:t>
      </w:r>
      <w:r>
        <w:rPr>
          <w:rFonts w:hint="eastAsia" w:ascii="黑体" w:hAnsi="黑体" w:eastAsia="黑体"/>
          <w:sz w:val="32"/>
          <w:szCs w:val="30"/>
        </w:rPr>
        <w:t>风险警示</w:t>
      </w:r>
      <w:r>
        <w:rPr>
          <w:rFonts w:eastAsia="仿宋"/>
          <w:sz w:val="32"/>
          <w:szCs w:val="30"/>
        </w:rPr>
        <w:t>】</w:t>
      </w:r>
    </w:p>
    <w:p>
      <w:pPr>
        <w:spacing w:line="560" w:lineRule="exact"/>
        <w:ind w:firstLine="640" w:firstLineChars="200"/>
        <w:rPr>
          <w:rFonts w:eastAsia="仿宋"/>
          <w:sz w:val="32"/>
          <w:szCs w:val="30"/>
        </w:rPr>
      </w:pPr>
      <w:r>
        <w:rPr>
          <w:rFonts w:hint="eastAsia" w:eastAsia="仿宋"/>
          <w:sz w:val="32"/>
          <w:szCs w:val="30"/>
        </w:rPr>
        <w:t>证券市场的</w:t>
      </w:r>
      <w:r>
        <w:rPr>
          <w:rFonts w:eastAsia="仿宋"/>
          <w:sz w:val="32"/>
          <w:szCs w:val="30"/>
        </w:rPr>
        <w:t>投资者交易</w:t>
      </w:r>
      <w:r>
        <w:rPr>
          <w:rFonts w:hint="eastAsia" w:eastAsia="仿宋"/>
          <w:sz w:val="32"/>
          <w:szCs w:val="30"/>
        </w:rPr>
        <w:t>应</w:t>
      </w:r>
      <w:r>
        <w:rPr>
          <w:rFonts w:eastAsia="仿宋"/>
          <w:sz w:val="32"/>
          <w:szCs w:val="30"/>
        </w:rPr>
        <w:t>具有真实性</w:t>
      </w:r>
      <w:r>
        <w:rPr>
          <w:rFonts w:hint="eastAsia" w:eastAsia="仿宋"/>
          <w:sz w:val="32"/>
          <w:szCs w:val="30"/>
        </w:rPr>
        <w:t>，</w:t>
      </w:r>
      <w:r>
        <w:rPr>
          <w:rFonts w:eastAsia="仿宋"/>
          <w:sz w:val="32"/>
          <w:szCs w:val="30"/>
        </w:rPr>
        <w:t>真实的成交需求</w:t>
      </w:r>
      <w:r>
        <w:rPr>
          <w:rFonts w:hint="eastAsia" w:eastAsia="仿宋"/>
          <w:sz w:val="32"/>
          <w:szCs w:val="30"/>
        </w:rPr>
        <w:t>是其他投资者做出交易决策的重要参考。上述</w:t>
      </w:r>
      <w:r>
        <w:rPr>
          <w:rFonts w:ascii="Times New Roman" w:hAnsi="Times New Roman" w:eastAsia="仿宋"/>
          <w:sz w:val="32"/>
          <w:szCs w:val="30"/>
        </w:rPr>
        <w:t>投资者</w:t>
      </w:r>
      <w:r>
        <w:rPr>
          <w:rFonts w:hint="eastAsia" w:eastAsia="仿宋"/>
          <w:sz w:val="32"/>
          <w:szCs w:val="30"/>
        </w:rPr>
        <w:t>通过在收盘</w:t>
      </w:r>
      <w:r>
        <w:rPr>
          <w:rFonts w:eastAsia="仿宋"/>
          <w:sz w:val="32"/>
          <w:szCs w:val="30"/>
        </w:rPr>
        <w:t>集合竞价阶段</w:t>
      </w:r>
      <w:r>
        <w:rPr>
          <w:rFonts w:hint="eastAsia" w:eastAsia="仿宋"/>
          <w:sz w:val="32"/>
          <w:szCs w:val="30"/>
        </w:rPr>
        <w:t>对倒交易，扭曲了市场定价和</w:t>
      </w:r>
      <w:r>
        <w:rPr>
          <w:rFonts w:eastAsia="仿宋"/>
          <w:sz w:val="32"/>
          <w:szCs w:val="30"/>
        </w:rPr>
        <w:t>交易需求</w:t>
      </w:r>
      <w:r>
        <w:rPr>
          <w:rFonts w:hint="eastAsia" w:eastAsia="仿宋"/>
          <w:sz w:val="32"/>
          <w:szCs w:val="30"/>
        </w:rPr>
        <w:t>，误导了其他投资者，损害了证券市场的基本功能和</w:t>
      </w:r>
      <w:r>
        <w:rPr>
          <w:rFonts w:eastAsia="仿宋"/>
          <w:sz w:val="32"/>
          <w:szCs w:val="30"/>
        </w:rPr>
        <w:t>其他投资者的合法权益</w:t>
      </w:r>
      <w:r>
        <w:rPr>
          <w:rFonts w:hint="eastAsia" w:eastAsia="仿宋"/>
          <w:sz w:val="32"/>
          <w:szCs w:val="30"/>
        </w:rPr>
        <w:t>。此类行为是全国</w:t>
      </w:r>
      <w:r>
        <w:rPr>
          <w:rFonts w:eastAsia="仿宋"/>
          <w:sz w:val="32"/>
          <w:szCs w:val="30"/>
        </w:rPr>
        <w:t>股转公司重点监控的交易违规行为，</w:t>
      </w:r>
      <w:r>
        <w:rPr>
          <w:rFonts w:hint="eastAsia" w:eastAsia="仿宋"/>
          <w:sz w:val="32"/>
          <w:szCs w:val="30"/>
        </w:rPr>
        <w:t>一旦发生</w:t>
      </w:r>
      <w:r>
        <w:rPr>
          <w:rFonts w:eastAsia="仿宋"/>
          <w:sz w:val="32"/>
          <w:szCs w:val="30"/>
        </w:rPr>
        <w:t>将</w:t>
      </w:r>
      <w:r>
        <w:rPr>
          <w:rFonts w:hint="eastAsia" w:eastAsia="仿宋"/>
          <w:sz w:val="32"/>
          <w:szCs w:val="30"/>
        </w:rPr>
        <w:t>被</w:t>
      </w:r>
      <w:r>
        <w:rPr>
          <w:rFonts w:eastAsia="仿宋"/>
          <w:sz w:val="32"/>
          <w:szCs w:val="30"/>
        </w:rPr>
        <w:t>采取</w:t>
      </w:r>
      <w:r>
        <w:rPr>
          <w:rFonts w:hint="eastAsia" w:eastAsia="仿宋"/>
          <w:sz w:val="32"/>
          <w:szCs w:val="30"/>
        </w:rPr>
        <w:t>相应</w:t>
      </w:r>
      <w:r>
        <w:rPr>
          <w:rFonts w:eastAsia="仿宋"/>
          <w:sz w:val="32"/>
          <w:szCs w:val="30"/>
        </w:rPr>
        <w:t>监管措施</w:t>
      </w:r>
      <w:r>
        <w:rPr>
          <w:rFonts w:hint="eastAsia" w:eastAsia="仿宋"/>
          <w:sz w:val="32"/>
          <w:szCs w:val="30"/>
        </w:rPr>
        <w:t>，投资者应当</w:t>
      </w:r>
      <w:r>
        <w:rPr>
          <w:rFonts w:eastAsia="仿宋"/>
          <w:sz w:val="32"/>
          <w:szCs w:val="30"/>
        </w:rPr>
        <w:t>予以</w:t>
      </w:r>
      <w:r>
        <w:rPr>
          <w:rFonts w:hint="eastAsia" w:eastAsia="仿宋"/>
          <w:sz w:val="32"/>
          <w:szCs w:val="30"/>
        </w:rPr>
        <w:t>重视。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57"/>
    <w:rsid w:val="004B1C6E"/>
    <w:rsid w:val="007F0BA0"/>
    <w:rsid w:val="00A63237"/>
    <w:rsid w:val="00B31357"/>
    <w:rsid w:val="00B71B98"/>
    <w:rsid w:val="00C67646"/>
    <w:rsid w:val="2A91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line="560" w:lineRule="exact"/>
      <w:ind w:firstLine="200" w:firstLineChars="200"/>
      <w:jc w:val="left"/>
      <w:outlineLvl w:val="0"/>
    </w:pPr>
    <w:rPr>
      <w:rFonts w:eastAsia="Times New Roman"/>
      <w:b/>
      <w:bCs/>
      <w:kern w:val="44"/>
      <w:sz w:val="32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uiPriority w:val="9"/>
    <w:rPr>
      <w:rFonts w:eastAsia="Times New Roman"/>
      <w:b/>
      <w:bCs/>
      <w:kern w:val="44"/>
      <w:sz w:val="32"/>
      <w:szCs w:val="44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369</Characters>
  <Lines>3</Lines>
  <Paragraphs>1</Paragraphs>
  <TotalTime>273</TotalTime>
  <ScaleCrop>false</ScaleCrop>
  <LinksUpToDate>false</LinksUpToDate>
  <CharactersWithSpaces>432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2021-11-11T03:30:00Z</dcterms:created>
  <dc:creator>陈晓希cxx</dc:creator>
  <cp:lastModifiedBy>Acer</cp:lastModifiedBy>
  <dcterms:modified xsi:type="dcterms:W3CDTF">2021-11-25T06:14:53Z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