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beforeLines="0" w:afterLines="0" w:line="360" w:lineRule="auto"/>
        <w:ind w:firstLine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Toc310260770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</w:t>
      </w: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bookmarkStart w:id="1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暂停转融通借入证券实时可用</w:t>
      </w:r>
    </w:p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业务仿真测试方案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7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</w:rPr>
        <w:t>一、</w:t>
      </w:r>
      <w:r>
        <w:rPr>
          <w:rFonts w:hint="eastAsia" w:ascii="黑体" w:hAnsi="黑体" w:eastAsia="黑体" w:cs="黑体"/>
          <w:b/>
          <w:bCs/>
        </w:rPr>
        <w:t>测试时间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7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至3月1日</w:t>
      </w:r>
      <w:r>
        <w:rPr>
          <w:rFonts w:hint="eastAsia" w:ascii="仿宋_GB2312" w:hAnsi="仿宋_GB2312" w:eastAsia="仿宋_GB2312" w:cs="仿宋_GB2312"/>
          <w:sz w:val="32"/>
          <w:szCs w:val="32"/>
        </w:rPr>
        <w:t>（周五）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，为支持暂停转融通借入证券</w:t>
      </w:r>
      <w:r>
        <w:rPr>
          <w:rFonts w:hint="eastAsia" w:ascii="仿宋_GB2312" w:hAnsi="仿宋_GB2312" w:eastAsia="仿宋_GB2312" w:cs="仿宋_GB2312"/>
          <w:sz w:val="32"/>
          <w:szCs w:val="32"/>
        </w:rPr>
        <w:t>实时可用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中国证券金融公司（以下简称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中证金融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转融券及做市借券业务资格的证券公司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开展业务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仿真测试。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每日测试时间安排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上海证券交易所（以下简称“上交所”）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全天候测试环境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和深圳证券交易所（以下简称“深交所”）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交易结算独立测试环境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的测试时间为准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lang w:eastAsia="zh-CN"/>
        </w:rPr>
        <w:t>二</w:t>
      </w:r>
      <w:r>
        <w:rPr>
          <w:rFonts w:hint="eastAsia" w:ascii="黑体" w:hAnsi="黑体" w:eastAsia="黑体" w:cs="黑体"/>
          <w:b/>
          <w:bCs/>
        </w:rPr>
        <w:t>、测试内容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业务测试内容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但不限于：沪深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转融券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和做市借券全部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业务流程、沪深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转融资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业务流程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，以及上述业务的清算等业务处理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lang w:eastAsia="zh-CN"/>
        </w:rPr>
        <w:t>三</w:t>
      </w:r>
      <w:r>
        <w:rPr>
          <w:rFonts w:hint="eastAsia" w:ascii="黑体" w:hAnsi="黑体" w:eastAsia="黑体" w:cs="黑体"/>
          <w:b/>
          <w:bCs/>
        </w:rPr>
        <w:t>、测试环境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40" w:left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上交所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中国结算上海分公司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测试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环境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均为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沪市全天候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测试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环境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40" w:left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2、深交所和中国结算深圳分公司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测试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环境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均为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深市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交易结算独立测试环境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40" w:left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中证金融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转融通系统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和中国结算总部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担保品系统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测试连接方式同转融通业务仿真测试环境。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068" w:leftChars="303" w:hanging="432" w:hangingChars="135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深证通FDEP平台：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MR消息服务器IP和端口：58.253.80.173:7001；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文件服务器IP和端口：58.253.80.173:7015和58.253.80.173:7016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lang w:eastAsia="zh-CN"/>
        </w:rPr>
        <w:t>四</w:t>
      </w:r>
      <w:r>
        <w:rPr>
          <w:rFonts w:hint="eastAsia" w:ascii="黑体" w:hAnsi="黑体" w:eastAsia="黑体" w:cs="黑体"/>
          <w:b/>
          <w:bCs/>
        </w:rPr>
        <w:t>、相关约定事项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本次测试，中证金融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清理仿真测试环境合约数据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不预设初始合约数据。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借入人融券专用证券账户初始持仓安排：本次测试中证金融为各出借人安排初始持仓（附件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）。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沪市以全天候测试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环境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2月2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日闭市后发送的证券余额数据为基准（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ZQYE.DBF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），深市以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交易结算独立测试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环境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2月8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日闭市后日终发送的对账数据（SJSDZ.DBF）为准。测试所需证券持仓，请通过转融券等方式取得。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借入人转融通担保资金明细账户初始资金安排：中证金融为各参测借入人转融通担保资金明细账户设置初始资金各4亿元。资金余额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仿真测试环境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2月8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日闭市后中国结算担保品管理系统发送的资金余额数据为基准（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DBPZJYE.DBF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本次测试，在现有固期固费转融资期限品种基础之上新增1天和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2天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期转融资业务品种，专供本次测试时使用。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1天和2天期固期固费转融资合约到期后可再借。本次测试，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每个交易日均为市场化转融资交易日，期限、费率及头寸详见每日下发参数文件。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各测试参与人应以独立于生产系统的测试环境开展仿真测试，并按照每日测试重点（附件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 xml:space="preserve">）做好详尽的系统测试计划，落实专人负责本次测试工作。具体测试安排详见沪深交易所测试通知。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各参与人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本轮测试后，请填写测试反馈表（附件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），并于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3月2日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18:00前以邮件方式向我司反馈（邮箱：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csftest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@csf.com.cn）, 邮件主题名为“参测单位名称+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暂停转融通借入证券实时可用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仿真测试反馈表”。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lang w:eastAsia="zh-CN"/>
        </w:rPr>
        <w:t>五</w:t>
      </w:r>
      <w:r>
        <w:rPr>
          <w:rFonts w:hint="eastAsia" w:ascii="黑体" w:hAnsi="黑体" w:eastAsia="黑体" w:cs="黑体"/>
          <w:b/>
          <w:bCs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2" w:leftChars="-1" w:firstLine="377" w:firstLineChars="118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测试交流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/>
        </w:rPr>
        <w:t>QQ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群：260512248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2" w:leftChars="-1" w:firstLine="377" w:firstLineChars="1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中证金融公司测试技术联系电话：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010-63211719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2" w:leftChars="-1" w:firstLine="377" w:firstLineChars="1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中证金融公司测试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转融券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010-83325370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2" w:leftChars="-1" w:firstLine="377" w:firstLineChars="1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中证金融公司测试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转融资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010-833253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2" w:leftChars="-1" w:firstLine="377" w:firstLineChars="118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中证金融公司测试结算联系电话：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010-63211717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2" w:leftChars="-1" w:firstLine="377" w:firstLineChars="118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中证金融公司测试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授信调整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010-63211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2" w:leftChars="-1" w:firstLine="377" w:firstLineChars="118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7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中国证券金融股份有限公司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2024年2月2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7"/>
        <w:pageBreakBefore/>
        <w:jc w:val="left"/>
        <w:rPr>
          <w:rFonts w:hint="eastAsia"/>
        </w:rPr>
      </w:pPr>
      <w:r>
        <w:rPr>
          <w:rFonts w:hint="eastAsia"/>
        </w:rPr>
        <w:t xml:space="preserve">附件1  </w:t>
      </w:r>
      <w:r>
        <w:rPr>
          <w:rFonts w:hint="eastAsia"/>
          <w:lang w:eastAsia="zh-CN"/>
        </w:rPr>
        <w:t>出借</w:t>
      </w:r>
      <w:r>
        <w:rPr>
          <w:rFonts w:hint="eastAsia"/>
        </w:rPr>
        <w:t>账户初始账户持仓</w:t>
      </w:r>
    </w:p>
    <w:p>
      <w:pPr>
        <w:rPr>
          <w:rFonts w:hint="eastAsia"/>
        </w:rPr>
      </w:pPr>
    </w:p>
    <w:tbl>
      <w:tblPr>
        <w:tblStyle w:val="8"/>
        <w:tblpPr w:leftFromText="180" w:rightFromText="180" w:vertAnchor="text" w:horzAnchor="page" w:tblpX="1630" w:tblpY="5"/>
        <w:tblOverlap w:val="never"/>
        <w:tblW w:w="85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032"/>
        <w:gridCol w:w="2850"/>
        <w:gridCol w:w="24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E2E2E"/>
                <w:kern w:val="0"/>
                <w:sz w:val="24"/>
                <w:szCs w:val="24"/>
              </w:rPr>
              <w:t>市场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E2E2E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E2E2E"/>
                <w:kern w:val="0"/>
                <w:sz w:val="24"/>
                <w:szCs w:val="24"/>
              </w:rPr>
              <w:t>股份性质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E2E2E"/>
                <w:kern w:val="0"/>
                <w:sz w:val="24"/>
                <w:szCs w:val="24"/>
              </w:rPr>
              <w:t>调整数量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沪市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600000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688018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无限售流通股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增加1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深市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00000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无限售流通股</w:t>
            </w:r>
          </w:p>
        </w:tc>
        <w:tc>
          <w:tcPr>
            <w:tcW w:w="24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增加1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股</w:t>
            </w:r>
          </w:p>
        </w:tc>
      </w:tr>
    </w:tbl>
    <w:p>
      <w:pPr>
        <w:spacing w:line="360" w:lineRule="auto"/>
        <w:ind w:firstLine="567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7"/>
        <w:pageBreakBefore/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 </w:t>
      </w:r>
      <w:r>
        <w:rPr>
          <w:rFonts w:hint="eastAsia"/>
          <w:lang w:eastAsia="zh-CN"/>
        </w:rPr>
        <w:t>每日测试重点</w:t>
      </w:r>
    </w:p>
    <w:tbl>
      <w:tblPr>
        <w:tblStyle w:val="8"/>
        <w:tblW w:w="8125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8"/>
        <w:gridCol w:w="5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8" w:type="dxa"/>
            <w:shd w:val="clear" w:color="auto" w:fill="A5A5A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E2E2E"/>
                <w:kern w:val="0"/>
                <w:sz w:val="24"/>
                <w:szCs w:val="24"/>
              </w:rPr>
              <w:t>日期</w:t>
            </w:r>
          </w:p>
        </w:tc>
        <w:tc>
          <w:tcPr>
            <w:tcW w:w="5597" w:type="dxa"/>
            <w:shd w:val="clear" w:color="auto" w:fill="A5A5A5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2E2E2E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2E2E2E"/>
                <w:kern w:val="0"/>
                <w:sz w:val="24"/>
                <w:szCs w:val="24"/>
              </w:rPr>
              <w:t>测试内容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8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2月8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日（周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</w:tc>
        <w:tc>
          <w:tcPr>
            <w:tcW w:w="559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测试环境准备。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8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2月19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日（周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</w:tc>
        <w:tc>
          <w:tcPr>
            <w:tcW w:w="5597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沪深市场转融券交易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沪深市场转融资交易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8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2月20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日（周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</w:tc>
        <w:tc>
          <w:tcPr>
            <w:tcW w:w="5597" w:type="dxa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沪深市场转融券交易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沪深市场转融资交易和再借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沪深市场展期、提前了结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8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2月21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日（周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</w:tc>
        <w:tc>
          <w:tcPr>
            <w:tcW w:w="5597" w:type="dxa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沪深市场转融券交易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沪深市场转融资交易和再借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沪深市场展期、提前了结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8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2月22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日（周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</w:tc>
        <w:tc>
          <w:tcPr>
            <w:tcW w:w="5597" w:type="dxa"/>
            <w:vAlign w:val="center"/>
          </w:tcPr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沪深市场转融券交易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沪深市场转融资交易和再借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沪深市场展期、提前了结</w:t>
            </w:r>
          </w:p>
          <w:p>
            <w:pPr>
              <w:numPr>
                <w:ilvl w:val="0"/>
                <w:numId w:val="4"/>
              </w:num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权益测试：（688018、300002分红送股）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8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2月2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日（周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</w:tc>
        <w:tc>
          <w:tcPr>
            <w:tcW w:w="5597" w:type="dxa"/>
            <w:vAlign w:val="center"/>
          </w:tcPr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沪深市场保证金交易（具体以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沪深交易所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测试通知为准)</w:t>
            </w:r>
          </w:p>
          <w:p>
            <w:pPr>
              <w:numPr>
                <w:ilvl w:val="0"/>
                <w:numId w:val="5"/>
              </w:num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2"/>
                <w:lang w:val="en-US" w:eastAsia="zh-CN"/>
              </w:rPr>
              <w:t>保证金划转等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8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2月26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日（周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）</w:t>
            </w:r>
          </w:p>
        </w:tc>
        <w:tc>
          <w:tcPr>
            <w:tcW w:w="5597" w:type="dxa"/>
            <w:vAlign w:val="center"/>
          </w:tcPr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沪深市场保证金交易</w:t>
            </w:r>
          </w:p>
          <w:p>
            <w:pPr>
              <w:numPr>
                <w:ilvl w:val="0"/>
                <w:numId w:val="6"/>
              </w:num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保证金划转等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8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2月27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日-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3月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1日</w:t>
            </w:r>
          </w:p>
        </w:tc>
        <w:tc>
          <w:tcPr>
            <w:tcW w:w="5597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自行安排</w:t>
            </w:r>
          </w:p>
        </w:tc>
      </w:tr>
    </w:tbl>
    <w:p>
      <w:pPr>
        <w:pStyle w:val="7"/>
        <w:pageBreakBefore/>
        <w:jc w:val="center"/>
        <w:rPr>
          <w:rFonts w:hint="eastAsia" w:eastAsia="宋体"/>
          <w:b/>
          <w:bCs/>
          <w:lang w:eastAsia="zh-CN"/>
        </w:rPr>
      </w:pPr>
      <w:r>
        <w:rPr>
          <w:rFonts w:hint="eastAsia" w:eastAsia="宋体"/>
          <w:b/>
          <w:bCs/>
          <w:lang w:eastAsia="zh-CN"/>
        </w:rPr>
        <w:t>附件</w:t>
      </w:r>
      <w:r>
        <w:rPr>
          <w:rFonts w:hint="eastAsia" w:eastAsia="宋体"/>
          <w:b/>
          <w:bCs/>
          <w:lang w:val="en-US" w:eastAsia="zh-CN"/>
        </w:rPr>
        <w:t>3</w:t>
      </w:r>
      <w:r>
        <w:rPr>
          <w:rFonts w:hint="eastAsia" w:eastAsia="宋体"/>
          <w:b/>
          <w:bCs/>
          <w:lang w:eastAsia="zh-CN"/>
        </w:rPr>
        <w:t xml:space="preserve">  XXX公司</w:t>
      </w:r>
      <w:r>
        <w:rPr>
          <w:rFonts w:hint="eastAsia" w:ascii="Cambria" w:hAnsi="Cambria" w:eastAsia="宋体" w:cs="Times New Roman"/>
          <w:b/>
          <w:bCs/>
          <w:sz w:val="32"/>
          <w:szCs w:val="32"/>
          <w:lang w:eastAsia="zh-CN"/>
        </w:rPr>
        <w:t>暂停转融通借入证券实时可用</w:t>
      </w:r>
      <w:r>
        <w:rPr>
          <w:rFonts w:hint="eastAsia" w:eastAsia="宋体" w:cs="Times New Roman"/>
          <w:b/>
          <w:bCs/>
          <w:sz w:val="32"/>
          <w:szCs w:val="32"/>
          <w:lang w:val="en-US" w:eastAsia="zh-CN"/>
        </w:rPr>
        <w:t>业务</w:t>
      </w:r>
      <w:r>
        <w:rPr>
          <w:rFonts w:hint="eastAsia" w:eastAsia="宋体"/>
          <w:b/>
          <w:bCs/>
          <w:lang w:eastAsia="zh-CN"/>
        </w:rPr>
        <w:t>仿真测试反馈表</w:t>
      </w:r>
    </w:p>
    <w:tbl>
      <w:tblPr>
        <w:tblStyle w:val="8"/>
        <w:tblpPr w:leftFromText="180" w:rightFromText="180" w:vertAnchor="text" w:horzAnchor="page" w:tblpX="1862" w:tblpY="616"/>
        <w:tblOverlap w:val="never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7"/>
        <w:gridCol w:w="3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shd w:val="clear" w:color="auto" w:fill="DDD8C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测试内容</w:t>
            </w:r>
          </w:p>
        </w:tc>
        <w:tc>
          <w:tcPr>
            <w:tcW w:w="3338" w:type="dxa"/>
            <w:shd w:val="clear" w:color="auto" w:fill="DDD8C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测试结果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T日转融通期限库文件的接收与处理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转融通资金头寸文件的接收与处理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转融通标的期限费率文件的接收与处理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转融通可充抵保证金证券文件的接收与处理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市场化转融券约定申报交易参数文件的接收与处理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T日转融通成交信息文件的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接收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和处理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T日新合约信息文件的接收与处理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T日合约偿还明细文件的接收与处理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T日合约对帐文件的接收与处理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T+1日交收通知文件的接收与处理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展期结果通知文件的接收与处理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提前了结结果通知文件的接收与处理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偿还划付差错文件的接收与处理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保证金追缴通知文件的接收与处理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转融通权益文件的接收与处理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转融通成交信息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文件接收与处理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T日转融通信息披露库接收与处理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沪深两市市场化转融资申报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/撤单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沪深两市转融资申报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/撤单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沪深两市市场化转融资及转融资合约再借申报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/撤单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沪深两市主板转融券非约定申报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/撤单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沪深两市主板转融券市场化约定申报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/撤单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沪深两市主板转融券展期申报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/撤单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沪深两市主板转融券提前了结申报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/撤单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沪深两市双创板块转融券非约定申报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/撤单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沪深两市双创板块转融券市场化约定申报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/撤单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沪深两市双创板块转融券展期申报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/撤单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沪深两市双创板块转融券提前了结申报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/撤单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沪深两市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保证金限价和市价交易/撤单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沪深两市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保证金资金交存提取替换/撤单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沪深两市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保证金证券交存提取替换/撤单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转融资合约偿还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市场化转融资合约偿还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转融券合约偿还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转融通业务清算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中国结算上海结算数据处理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中国结算深圳结算数据处理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注：明细结果库（SJSJG.DBF）中业务类别（JGYWLB）为转融通证券划转（RTR4）的数据，若为市场化转融通的转融券指令，且深交所未完成可交易余额实时调整的，客户订单编号（JGDDBH）填写申报指令中的委托序号，执行编号（JGZXBH）填写空，交收方式（JGJSFS）填写‘N’（非担保交收）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◎正常◎异常◎未测◎无此业务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137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(可自行添加)</w:t>
            </w:r>
          </w:p>
        </w:tc>
        <w:tc>
          <w:tcPr>
            <w:tcW w:w="3338" w:type="dxa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847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异常说明：（不超过500汉字）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before="156" w:beforeLines="50"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</w:p>
    <w:p>
      <w:pPr>
        <w:spacing w:before="156" w:beforeLines="50" w:line="360" w:lineRule="auto"/>
        <w:jc w:val="left"/>
        <w:rPr>
          <w:rFonts w:hint="eastAsia" w:ascii="仿宋_GB2312" w:hAnsi="仿宋_GB2312" w:eastAsia="仿宋_GB2312" w:cs="仿宋_GB2312"/>
          <w:bCs/>
          <w:sz w:val="24"/>
          <w:szCs w:val="24"/>
        </w:rPr>
      </w:pPr>
    </w:p>
    <w:p>
      <w:pPr>
        <w:spacing w:before="156" w:beforeLines="50"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反馈人：                                  反馈日期：</w:t>
      </w:r>
    </w:p>
    <w:p>
      <w:pPr>
        <w:spacing w:line="360" w:lineRule="auto"/>
        <w:jc w:val="left"/>
        <w:rPr>
          <w:rFonts w:ascii="仿宋" w:hAnsi="仿宋" w:eastAsia="仿宋" w:cs="Times New Roman"/>
          <w:spacing w:val="-4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6A0F1C"/>
    <w:multiLevelType w:val="singleLevel"/>
    <w:tmpl w:val="976A0F1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E23A57B"/>
    <w:multiLevelType w:val="singleLevel"/>
    <w:tmpl w:val="CE23A5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83ABB52"/>
    <w:multiLevelType w:val="singleLevel"/>
    <w:tmpl w:val="E83ABB5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55C35FE"/>
    <w:multiLevelType w:val="singleLevel"/>
    <w:tmpl w:val="055C35F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522589C"/>
    <w:multiLevelType w:val="singleLevel"/>
    <w:tmpl w:val="6522589C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F317D57"/>
    <w:multiLevelType w:val="singleLevel"/>
    <w:tmpl w:val="7F317D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ODQ3NjM2MGU5OTEzZTQwMTQzMzMxYmQzY2M1MjcifQ=="/>
  </w:docVars>
  <w:rsids>
    <w:rsidRoot w:val="002D588E"/>
    <w:rsid w:val="00010BB0"/>
    <w:rsid w:val="00010EE4"/>
    <w:rsid w:val="00011AE9"/>
    <w:rsid w:val="000120E3"/>
    <w:rsid w:val="00021230"/>
    <w:rsid w:val="000222D0"/>
    <w:rsid w:val="00024A02"/>
    <w:rsid w:val="00035458"/>
    <w:rsid w:val="000409F3"/>
    <w:rsid w:val="000440FF"/>
    <w:rsid w:val="000467D9"/>
    <w:rsid w:val="00046EDE"/>
    <w:rsid w:val="00050405"/>
    <w:rsid w:val="000528FB"/>
    <w:rsid w:val="000539E0"/>
    <w:rsid w:val="00061B36"/>
    <w:rsid w:val="0006384A"/>
    <w:rsid w:val="000639E7"/>
    <w:rsid w:val="000804BE"/>
    <w:rsid w:val="00086F5A"/>
    <w:rsid w:val="0009082B"/>
    <w:rsid w:val="0009308C"/>
    <w:rsid w:val="0009498C"/>
    <w:rsid w:val="00096BBB"/>
    <w:rsid w:val="000A11D2"/>
    <w:rsid w:val="000A1828"/>
    <w:rsid w:val="000A7230"/>
    <w:rsid w:val="000B0A46"/>
    <w:rsid w:val="000B352C"/>
    <w:rsid w:val="000B5426"/>
    <w:rsid w:val="000B7B85"/>
    <w:rsid w:val="000D0656"/>
    <w:rsid w:val="000D15BF"/>
    <w:rsid w:val="000D36D3"/>
    <w:rsid w:val="000E2B1A"/>
    <w:rsid w:val="000E3DB7"/>
    <w:rsid w:val="000F1708"/>
    <w:rsid w:val="000F2977"/>
    <w:rsid w:val="00100B87"/>
    <w:rsid w:val="001013BF"/>
    <w:rsid w:val="00102B27"/>
    <w:rsid w:val="00102F9D"/>
    <w:rsid w:val="001057DB"/>
    <w:rsid w:val="00105FAD"/>
    <w:rsid w:val="00114B90"/>
    <w:rsid w:val="00120811"/>
    <w:rsid w:val="00124EE3"/>
    <w:rsid w:val="0012653B"/>
    <w:rsid w:val="00134A17"/>
    <w:rsid w:val="00135DCD"/>
    <w:rsid w:val="0013783F"/>
    <w:rsid w:val="00143FB2"/>
    <w:rsid w:val="0014491D"/>
    <w:rsid w:val="001459B1"/>
    <w:rsid w:val="00153E48"/>
    <w:rsid w:val="001553BA"/>
    <w:rsid w:val="001560EC"/>
    <w:rsid w:val="0016039F"/>
    <w:rsid w:val="00161256"/>
    <w:rsid w:val="00172128"/>
    <w:rsid w:val="00174D8B"/>
    <w:rsid w:val="00187ABB"/>
    <w:rsid w:val="001917A1"/>
    <w:rsid w:val="00197F9F"/>
    <w:rsid w:val="001A34FA"/>
    <w:rsid w:val="001A4FA1"/>
    <w:rsid w:val="001B0453"/>
    <w:rsid w:val="001B17F1"/>
    <w:rsid w:val="001C0356"/>
    <w:rsid w:val="001C525E"/>
    <w:rsid w:val="001E1E73"/>
    <w:rsid w:val="0020053B"/>
    <w:rsid w:val="00202D28"/>
    <w:rsid w:val="00204D4E"/>
    <w:rsid w:val="00205814"/>
    <w:rsid w:val="002077C7"/>
    <w:rsid w:val="00211E78"/>
    <w:rsid w:val="002307FA"/>
    <w:rsid w:val="002318A9"/>
    <w:rsid w:val="00233F24"/>
    <w:rsid w:val="00235C40"/>
    <w:rsid w:val="002360E9"/>
    <w:rsid w:val="00240A02"/>
    <w:rsid w:val="00244AF0"/>
    <w:rsid w:val="00250BFD"/>
    <w:rsid w:val="00254BA4"/>
    <w:rsid w:val="00254DBA"/>
    <w:rsid w:val="00272A6C"/>
    <w:rsid w:val="00276603"/>
    <w:rsid w:val="002768C5"/>
    <w:rsid w:val="002777FA"/>
    <w:rsid w:val="00282126"/>
    <w:rsid w:val="002864BD"/>
    <w:rsid w:val="002902E9"/>
    <w:rsid w:val="00294574"/>
    <w:rsid w:val="002958C7"/>
    <w:rsid w:val="00296CEE"/>
    <w:rsid w:val="002A2C68"/>
    <w:rsid w:val="002A4B59"/>
    <w:rsid w:val="002A6467"/>
    <w:rsid w:val="002B0680"/>
    <w:rsid w:val="002B1F22"/>
    <w:rsid w:val="002B2415"/>
    <w:rsid w:val="002B4B2F"/>
    <w:rsid w:val="002C1B4C"/>
    <w:rsid w:val="002C7225"/>
    <w:rsid w:val="002D15D9"/>
    <w:rsid w:val="002D588E"/>
    <w:rsid w:val="002E45E5"/>
    <w:rsid w:val="002E591C"/>
    <w:rsid w:val="002E7128"/>
    <w:rsid w:val="002F1A35"/>
    <w:rsid w:val="002F4205"/>
    <w:rsid w:val="002F45EE"/>
    <w:rsid w:val="003033ED"/>
    <w:rsid w:val="00303883"/>
    <w:rsid w:val="00303A42"/>
    <w:rsid w:val="00303FAE"/>
    <w:rsid w:val="003071D1"/>
    <w:rsid w:val="00312EEF"/>
    <w:rsid w:val="0031368F"/>
    <w:rsid w:val="0031641C"/>
    <w:rsid w:val="00320A41"/>
    <w:rsid w:val="00320DBD"/>
    <w:rsid w:val="00323AEC"/>
    <w:rsid w:val="00323CD1"/>
    <w:rsid w:val="00324599"/>
    <w:rsid w:val="0032796B"/>
    <w:rsid w:val="0033017B"/>
    <w:rsid w:val="003339B1"/>
    <w:rsid w:val="0033446A"/>
    <w:rsid w:val="00337BA4"/>
    <w:rsid w:val="003407E0"/>
    <w:rsid w:val="00341F28"/>
    <w:rsid w:val="0035199D"/>
    <w:rsid w:val="003559F4"/>
    <w:rsid w:val="00357348"/>
    <w:rsid w:val="00360BD2"/>
    <w:rsid w:val="00370AA2"/>
    <w:rsid w:val="0037286F"/>
    <w:rsid w:val="003736E2"/>
    <w:rsid w:val="00376BF1"/>
    <w:rsid w:val="00397549"/>
    <w:rsid w:val="003A0BEF"/>
    <w:rsid w:val="003A37E3"/>
    <w:rsid w:val="003A6643"/>
    <w:rsid w:val="003B206C"/>
    <w:rsid w:val="003B2098"/>
    <w:rsid w:val="003B30E3"/>
    <w:rsid w:val="003B580A"/>
    <w:rsid w:val="003B6738"/>
    <w:rsid w:val="003C3690"/>
    <w:rsid w:val="003C40BC"/>
    <w:rsid w:val="003C6CC4"/>
    <w:rsid w:val="003D1B63"/>
    <w:rsid w:val="003E1F5F"/>
    <w:rsid w:val="003E3B5B"/>
    <w:rsid w:val="003E7342"/>
    <w:rsid w:val="003F225E"/>
    <w:rsid w:val="003F26F3"/>
    <w:rsid w:val="003F7A72"/>
    <w:rsid w:val="00406420"/>
    <w:rsid w:val="00406D6A"/>
    <w:rsid w:val="004144CA"/>
    <w:rsid w:val="004178B1"/>
    <w:rsid w:val="00422339"/>
    <w:rsid w:val="00430823"/>
    <w:rsid w:val="00431C03"/>
    <w:rsid w:val="00431E5B"/>
    <w:rsid w:val="00432A64"/>
    <w:rsid w:val="00432B66"/>
    <w:rsid w:val="00432CD9"/>
    <w:rsid w:val="004335DB"/>
    <w:rsid w:val="00434736"/>
    <w:rsid w:val="0043756E"/>
    <w:rsid w:val="00437C27"/>
    <w:rsid w:val="0044216D"/>
    <w:rsid w:val="004433BC"/>
    <w:rsid w:val="004442A2"/>
    <w:rsid w:val="00444D30"/>
    <w:rsid w:val="00445B8A"/>
    <w:rsid w:val="0044628B"/>
    <w:rsid w:val="00447426"/>
    <w:rsid w:val="004634AE"/>
    <w:rsid w:val="00466FF1"/>
    <w:rsid w:val="00471636"/>
    <w:rsid w:val="004761FC"/>
    <w:rsid w:val="0047738F"/>
    <w:rsid w:val="0048096E"/>
    <w:rsid w:val="00483CA2"/>
    <w:rsid w:val="00493885"/>
    <w:rsid w:val="00494250"/>
    <w:rsid w:val="004A07F2"/>
    <w:rsid w:val="004A4298"/>
    <w:rsid w:val="004A65B9"/>
    <w:rsid w:val="004B0B64"/>
    <w:rsid w:val="004B195D"/>
    <w:rsid w:val="004B19CE"/>
    <w:rsid w:val="004B28F6"/>
    <w:rsid w:val="004C5ED6"/>
    <w:rsid w:val="004C68D1"/>
    <w:rsid w:val="004C795D"/>
    <w:rsid w:val="004D030B"/>
    <w:rsid w:val="004D1533"/>
    <w:rsid w:val="004D1A70"/>
    <w:rsid w:val="004D1C2E"/>
    <w:rsid w:val="004D39BF"/>
    <w:rsid w:val="004D49CE"/>
    <w:rsid w:val="004E463B"/>
    <w:rsid w:val="004E71A1"/>
    <w:rsid w:val="004F64BC"/>
    <w:rsid w:val="00501D44"/>
    <w:rsid w:val="00502FDA"/>
    <w:rsid w:val="00510911"/>
    <w:rsid w:val="00511106"/>
    <w:rsid w:val="0051373C"/>
    <w:rsid w:val="00514D58"/>
    <w:rsid w:val="0051598E"/>
    <w:rsid w:val="00520F82"/>
    <w:rsid w:val="0052784C"/>
    <w:rsid w:val="005326BD"/>
    <w:rsid w:val="005333C6"/>
    <w:rsid w:val="005446ED"/>
    <w:rsid w:val="00552DD0"/>
    <w:rsid w:val="00553BD9"/>
    <w:rsid w:val="005543DF"/>
    <w:rsid w:val="00554A74"/>
    <w:rsid w:val="0055692E"/>
    <w:rsid w:val="00565D24"/>
    <w:rsid w:val="00566EF9"/>
    <w:rsid w:val="00571AD7"/>
    <w:rsid w:val="00572531"/>
    <w:rsid w:val="00576138"/>
    <w:rsid w:val="00582EEC"/>
    <w:rsid w:val="00584A25"/>
    <w:rsid w:val="00590F6D"/>
    <w:rsid w:val="00593D1C"/>
    <w:rsid w:val="00595C19"/>
    <w:rsid w:val="00595DE4"/>
    <w:rsid w:val="005A55F5"/>
    <w:rsid w:val="005A641B"/>
    <w:rsid w:val="005A682B"/>
    <w:rsid w:val="005B066B"/>
    <w:rsid w:val="005B283E"/>
    <w:rsid w:val="005B58A0"/>
    <w:rsid w:val="005B711A"/>
    <w:rsid w:val="005B7DFF"/>
    <w:rsid w:val="005C43BB"/>
    <w:rsid w:val="005C4532"/>
    <w:rsid w:val="005C7252"/>
    <w:rsid w:val="005D14ED"/>
    <w:rsid w:val="005D56EB"/>
    <w:rsid w:val="005E1607"/>
    <w:rsid w:val="006007C9"/>
    <w:rsid w:val="00611582"/>
    <w:rsid w:val="00614770"/>
    <w:rsid w:val="00616F35"/>
    <w:rsid w:val="00617479"/>
    <w:rsid w:val="00620F1B"/>
    <w:rsid w:val="00626AA3"/>
    <w:rsid w:val="006332EE"/>
    <w:rsid w:val="00635143"/>
    <w:rsid w:val="006408A5"/>
    <w:rsid w:val="006524F8"/>
    <w:rsid w:val="00652C17"/>
    <w:rsid w:val="00655364"/>
    <w:rsid w:val="00660E37"/>
    <w:rsid w:val="00666B38"/>
    <w:rsid w:val="0067245F"/>
    <w:rsid w:val="00686148"/>
    <w:rsid w:val="00695979"/>
    <w:rsid w:val="00696B4A"/>
    <w:rsid w:val="006A28D1"/>
    <w:rsid w:val="006B148D"/>
    <w:rsid w:val="006B7E9C"/>
    <w:rsid w:val="006C0FAB"/>
    <w:rsid w:val="006C1DAE"/>
    <w:rsid w:val="006C3C21"/>
    <w:rsid w:val="006C528F"/>
    <w:rsid w:val="006E550E"/>
    <w:rsid w:val="006E77D7"/>
    <w:rsid w:val="006F07B0"/>
    <w:rsid w:val="006F1C6E"/>
    <w:rsid w:val="006F52C9"/>
    <w:rsid w:val="006F5904"/>
    <w:rsid w:val="007024D0"/>
    <w:rsid w:val="0070486F"/>
    <w:rsid w:val="007204D2"/>
    <w:rsid w:val="00736752"/>
    <w:rsid w:val="0073776E"/>
    <w:rsid w:val="00741D46"/>
    <w:rsid w:val="00744860"/>
    <w:rsid w:val="007550A0"/>
    <w:rsid w:val="007636E6"/>
    <w:rsid w:val="00770F8B"/>
    <w:rsid w:val="00775563"/>
    <w:rsid w:val="0077615A"/>
    <w:rsid w:val="007768E7"/>
    <w:rsid w:val="007775E8"/>
    <w:rsid w:val="007852CA"/>
    <w:rsid w:val="00785CF1"/>
    <w:rsid w:val="0079144C"/>
    <w:rsid w:val="007A0DFA"/>
    <w:rsid w:val="007A3DB7"/>
    <w:rsid w:val="007A4564"/>
    <w:rsid w:val="007A5369"/>
    <w:rsid w:val="007B1E94"/>
    <w:rsid w:val="007B2159"/>
    <w:rsid w:val="007B26B2"/>
    <w:rsid w:val="007C2F89"/>
    <w:rsid w:val="007D1C3A"/>
    <w:rsid w:val="007D6FF1"/>
    <w:rsid w:val="007E3796"/>
    <w:rsid w:val="007E417E"/>
    <w:rsid w:val="007F1193"/>
    <w:rsid w:val="007F6E6E"/>
    <w:rsid w:val="00802845"/>
    <w:rsid w:val="00807937"/>
    <w:rsid w:val="00807A2D"/>
    <w:rsid w:val="0081052B"/>
    <w:rsid w:val="00810634"/>
    <w:rsid w:val="0081208B"/>
    <w:rsid w:val="00815CC7"/>
    <w:rsid w:val="00820263"/>
    <w:rsid w:val="008256C1"/>
    <w:rsid w:val="00831336"/>
    <w:rsid w:val="00844846"/>
    <w:rsid w:val="00851D79"/>
    <w:rsid w:val="0086207B"/>
    <w:rsid w:val="0086413C"/>
    <w:rsid w:val="008671C8"/>
    <w:rsid w:val="00867406"/>
    <w:rsid w:val="0087643F"/>
    <w:rsid w:val="0088311B"/>
    <w:rsid w:val="00883F10"/>
    <w:rsid w:val="00886685"/>
    <w:rsid w:val="00887D35"/>
    <w:rsid w:val="00892363"/>
    <w:rsid w:val="00893875"/>
    <w:rsid w:val="00894E26"/>
    <w:rsid w:val="008972E0"/>
    <w:rsid w:val="008A180C"/>
    <w:rsid w:val="008A620A"/>
    <w:rsid w:val="008A683D"/>
    <w:rsid w:val="008A7C91"/>
    <w:rsid w:val="008C3B7B"/>
    <w:rsid w:val="008D0089"/>
    <w:rsid w:val="008D5841"/>
    <w:rsid w:val="008E01CB"/>
    <w:rsid w:val="008E151C"/>
    <w:rsid w:val="008E5FEB"/>
    <w:rsid w:val="008E601B"/>
    <w:rsid w:val="008F217C"/>
    <w:rsid w:val="00901EEE"/>
    <w:rsid w:val="00904698"/>
    <w:rsid w:val="00906D28"/>
    <w:rsid w:val="00907114"/>
    <w:rsid w:val="0090787E"/>
    <w:rsid w:val="00912B4A"/>
    <w:rsid w:val="00916DFE"/>
    <w:rsid w:val="0092630F"/>
    <w:rsid w:val="00946923"/>
    <w:rsid w:val="00947944"/>
    <w:rsid w:val="00952B1E"/>
    <w:rsid w:val="009541F6"/>
    <w:rsid w:val="009558D1"/>
    <w:rsid w:val="00957EF6"/>
    <w:rsid w:val="00960656"/>
    <w:rsid w:val="00960E3D"/>
    <w:rsid w:val="0096157B"/>
    <w:rsid w:val="00962E01"/>
    <w:rsid w:val="00963A4E"/>
    <w:rsid w:val="009644FE"/>
    <w:rsid w:val="00972089"/>
    <w:rsid w:val="00981A4A"/>
    <w:rsid w:val="00995577"/>
    <w:rsid w:val="009B16D6"/>
    <w:rsid w:val="009B43D4"/>
    <w:rsid w:val="009B44BC"/>
    <w:rsid w:val="009B50BE"/>
    <w:rsid w:val="009C50FC"/>
    <w:rsid w:val="009D732A"/>
    <w:rsid w:val="009E3F0B"/>
    <w:rsid w:val="009E4825"/>
    <w:rsid w:val="009E5D4E"/>
    <w:rsid w:val="009F0957"/>
    <w:rsid w:val="009F1F96"/>
    <w:rsid w:val="009F40A0"/>
    <w:rsid w:val="009F5D56"/>
    <w:rsid w:val="009F64B5"/>
    <w:rsid w:val="009F72CA"/>
    <w:rsid w:val="00A0353F"/>
    <w:rsid w:val="00A05A56"/>
    <w:rsid w:val="00A06759"/>
    <w:rsid w:val="00A07877"/>
    <w:rsid w:val="00A13142"/>
    <w:rsid w:val="00A16D0A"/>
    <w:rsid w:val="00A204E5"/>
    <w:rsid w:val="00A25433"/>
    <w:rsid w:val="00A25C50"/>
    <w:rsid w:val="00A31139"/>
    <w:rsid w:val="00A34374"/>
    <w:rsid w:val="00A41892"/>
    <w:rsid w:val="00A523DA"/>
    <w:rsid w:val="00A53F0B"/>
    <w:rsid w:val="00A6455B"/>
    <w:rsid w:val="00A757FB"/>
    <w:rsid w:val="00A7583E"/>
    <w:rsid w:val="00A766A1"/>
    <w:rsid w:val="00A85AC2"/>
    <w:rsid w:val="00A8695E"/>
    <w:rsid w:val="00A875DA"/>
    <w:rsid w:val="00A913BD"/>
    <w:rsid w:val="00A95FC3"/>
    <w:rsid w:val="00AA7412"/>
    <w:rsid w:val="00AA7FAE"/>
    <w:rsid w:val="00AB1BBD"/>
    <w:rsid w:val="00AB2D67"/>
    <w:rsid w:val="00AB78D8"/>
    <w:rsid w:val="00AC5AB1"/>
    <w:rsid w:val="00AC6C17"/>
    <w:rsid w:val="00AC7A0B"/>
    <w:rsid w:val="00AD3162"/>
    <w:rsid w:val="00AE0CCA"/>
    <w:rsid w:val="00AE702D"/>
    <w:rsid w:val="00AF017F"/>
    <w:rsid w:val="00AF17FC"/>
    <w:rsid w:val="00AF4C53"/>
    <w:rsid w:val="00AF4D0A"/>
    <w:rsid w:val="00AF59F0"/>
    <w:rsid w:val="00AF68B1"/>
    <w:rsid w:val="00B0284A"/>
    <w:rsid w:val="00B071C7"/>
    <w:rsid w:val="00B10B96"/>
    <w:rsid w:val="00B16667"/>
    <w:rsid w:val="00B26B8D"/>
    <w:rsid w:val="00B2710D"/>
    <w:rsid w:val="00B35966"/>
    <w:rsid w:val="00B35B4E"/>
    <w:rsid w:val="00B37F7B"/>
    <w:rsid w:val="00B4140F"/>
    <w:rsid w:val="00B433F8"/>
    <w:rsid w:val="00B45A45"/>
    <w:rsid w:val="00B4723E"/>
    <w:rsid w:val="00B6332A"/>
    <w:rsid w:val="00B66526"/>
    <w:rsid w:val="00B67483"/>
    <w:rsid w:val="00B72D56"/>
    <w:rsid w:val="00B82447"/>
    <w:rsid w:val="00B8284E"/>
    <w:rsid w:val="00B82FE8"/>
    <w:rsid w:val="00B90EEE"/>
    <w:rsid w:val="00B92010"/>
    <w:rsid w:val="00B926C4"/>
    <w:rsid w:val="00B97B7A"/>
    <w:rsid w:val="00BA0575"/>
    <w:rsid w:val="00BA22B3"/>
    <w:rsid w:val="00BA22D8"/>
    <w:rsid w:val="00BA253A"/>
    <w:rsid w:val="00BA381D"/>
    <w:rsid w:val="00BA3C12"/>
    <w:rsid w:val="00BA5C8B"/>
    <w:rsid w:val="00BA5D89"/>
    <w:rsid w:val="00BB1560"/>
    <w:rsid w:val="00BB19FF"/>
    <w:rsid w:val="00BB204E"/>
    <w:rsid w:val="00BB260E"/>
    <w:rsid w:val="00BC0464"/>
    <w:rsid w:val="00BC1E37"/>
    <w:rsid w:val="00BC55D0"/>
    <w:rsid w:val="00BD3E59"/>
    <w:rsid w:val="00BD48E3"/>
    <w:rsid w:val="00BE06E6"/>
    <w:rsid w:val="00BE24FF"/>
    <w:rsid w:val="00BE4AA8"/>
    <w:rsid w:val="00BF358A"/>
    <w:rsid w:val="00BF6189"/>
    <w:rsid w:val="00BF6381"/>
    <w:rsid w:val="00C00838"/>
    <w:rsid w:val="00C009D1"/>
    <w:rsid w:val="00C024C1"/>
    <w:rsid w:val="00C030F8"/>
    <w:rsid w:val="00C07849"/>
    <w:rsid w:val="00C15EB1"/>
    <w:rsid w:val="00C16CC8"/>
    <w:rsid w:val="00C23192"/>
    <w:rsid w:val="00C2534E"/>
    <w:rsid w:val="00C308F9"/>
    <w:rsid w:val="00C30C65"/>
    <w:rsid w:val="00C35968"/>
    <w:rsid w:val="00C35B5B"/>
    <w:rsid w:val="00C40568"/>
    <w:rsid w:val="00C44C92"/>
    <w:rsid w:val="00C47818"/>
    <w:rsid w:val="00C5000B"/>
    <w:rsid w:val="00C61A47"/>
    <w:rsid w:val="00C61D60"/>
    <w:rsid w:val="00C62BA8"/>
    <w:rsid w:val="00C7213C"/>
    <w:rsid w:val="00C87195"/>
    <w:rsid w:val="00C937D1"/>
    <w:rsid w:val="00C93BCA"/>
    <w:rsid w:val="00C95E9F"/>
    <w:rsid w:val="00CA3290"/>
    <w:rsid w:val="00CB3736"/>
    <w:rsid w:val="00CB4B3E"/>
    <w:rsid w:val="00CB511C"/>
    <w:rsid w:val="00CB5180"/>
    <w:rsid w:val="00CB6DAA"/>
    <w:rsid w:val="00CC1A6A"/>
    <w:rsid w:val="00CC1E01"/>
    <w:rsid w:val="00CC385C"/>
    <w:rsid w:val="00CD07D7"/>
    <w:rsid w:val="00CD5166"/>
    <w:rsid w:val="00CD7508"/>
    <w:rsid w:val="00CE0BC2"/>
    <w:rsid w:val="00CE6A61"/>
    <w:rsid w:val="00CF0E05"/>
    <w:rsid w:val="00CF36B7"/>
    <w:rsid w:val="00CF434B"/>
    <w:rsid w:val="00CF5642"/>
    <w:rsid w:val="00D01D94"/>
    <w:rsid w:val="00D02080"/>
    <w:rsid w:val="00D12261"/>
    <w:rsid w:val="00D1680A"/>
    <w:rsid w:val="00D3262F"/>
    <w:rsid w:val="00D33A90"/>
    <w:rsid w:val="00D4154E"/>
    <w:rsid w:val="00D415C2"/>
    <w:rsid w:val="00D45E4D"/>
    <w:rsid w:val="00D53CC3"/>
    <w:rsid w:val="00D54CAD"/>
    <w:rsid w:val="00D555FD"/>
    <w:rsid w:val="00D65139"/>
    <w:rsid w:val="00D667AC"/>
    <w:rsid w:val="00D829AC"/>
    <w:rsid w:val="00D875A7"/>
    <w:rsid w:val="00D92C82"/>
    <w:rsid w:val="00D934A4"/>
    <w:rsid w:val="00D95F60"/>
    <w:rsid w:val="00D974D2"/>
    <w:rsid w:val="00DA1903"/>
    <w:rsid w:val="00DA238A"/>
    <w:rsid w:val="00DA3782"/>
    <w:rsid w:val="00DA6B67"/>
    <w:rsid w:val="00DB6F15"/>
    <w:rsid w:val="00DC5B6B"/>
    <w:rsid w:val="00DD4D5C"/>
    <w:rsid w:val="00DD692C"/>
    <w:rsid w:val="00DD6DA2"/>
    <w:rsid w:val="00DF0FF3"/>
    <w:rsid w:val="00DF382C"/>
    <w:rsid w:val="00E13069"/>
    <w:rsid w:val="00E20C51"/>
    <w:rsid w:val="00E20CB5"/>
    <w:rsid w:val="00E20E2C"/>
    <w:rsid w:val="00E20ED0"/>
    <w:rsid w:val="00E2551F"/>
    <w:rsid w:val="00E27991"/>
    <w:rsid w:val="00E31490"/>
    <w:rsid w:val="00E3222D"/>
    <w:rsid w:val="00E37F4D"/>
    <w:rsid w:val="00E4042F"/>
    <w:rsid w:val="00E4131C"/>
    <w:rsid w:val="00E51294"/>
    <w:rsid w:val="00E51A69"/>
    <w:rsid w:val="00E53749"/>
    <w:rsid w:val="00E537EA"/>
    <w:rsid w:val="00E54CC8"/>
    <w:rsid w:val="00E55209"/>
    <w:rsid w:val="00E616AC"/>
    <w:rsid w:val="00E6666B"/>
    <w:rsid w:val="00E668DF"/>
    <w:rsid w:val="00E7579E"/>
    <w:rsid w:val="00E77E08"/>
    <w:rsid w:val="00E8254A"/>
    <w:rsid w:val="00E916B2"/>
    <w:rsid w:val="00E92083"/>
    <w:rsid w:val="00E9278F"/>
    <w:rsid w:val="00E94C89"/>
    <w:rsid w:val="00E96CBB"/>
    <w:rsid w:val="00EA24EA"/>
    <w:rsid w:val="00EA34BF"/>
    <w:rsid w:val="00EA3E74"/>
    <w:rsid w:val="00EA78FA"/>
    <w:rsid w:val="00EB083F"/>
    <w:rsid w:val="00EB14BB"/>
    <w:rsid w:val="00EC12E5"/>
    <w:rsid w:val="00EC28D9"/>
    <w:rsid w:val="00ED16B3"/>
    <w:rsid w:val="00EE1EFD"/>
    <w:rsid w:val="00EE55ED"/>
    <w:rsid w:val="00EE58E3"/>
    <w:rsid w:val="00EE66A6"/>
    <w:rsid w:val="00EF0CA9"/>
    <w:rsid w:val="00EF1227"/>
    <w:rsid w:val="00EF1921"/>
    <w:rsid w:val="00EF38EE"/>
    <w:rsid w:val="00EF7550"/>
    <w:rsid w:val="00F12644"/>
    <w:rsid w:val="00F12C1B"/>
    <w:rsid w:val="00F146DC"/>
    <w:rsid w:val="00F166CB"/>
    <w:rsid w:val="00F2171C"/>
    <w:rsid w:val="00F23696"/>
    <w:rsid w:val="00F252C5"/>
    <w:rsid w:val="00F26389"/>
    <w:rsid w:val="00F3720B"/>
    <w:rsid w:val="00F406EA"/>
    <w:rsid w:val="00F47FF3"/>
    <w:rsid w:val="00F540AC"/>
    <w:rsid w:val="00F54E1C"/>
    <w:rsid w:val="00F649E1"/>
    <w:rsid w:val="00F6725A"/>
    <w:rsid w:val="00F7016A"/>
    <w:rsid w:val="00F7316D"/>
    <w:rsid w:val="00F7345F"/>
    <w:rsid w:val="00F840FC"/>
    <w:rsid w:val="00F92D0F"/>
    <w:rsid w:val="00F94CAA"/>
    <w:rsid w:val="00FA118A"/>
    <w:rsid w:val="00FA578F"/>
    <w:rsid w:val="00FA6D16"/>
    <w:rsid w:val="00FA70C9"/>
    <w:rsid w:val="00FA7DEF"/>
    <w:rsid w:val="00FB18C2"/>
    <w:rsid w:val="00FB4A47"/>
    <w:rsid w:val="00FC4920"/>
    <w:rsid w:val="00FC6202"/>
    <w:rsid w:val="00FC6ADA"/>
    <w:rsid w:val="00FD4A8D"/>
    <w:rsid w:val="00FE2807"/>
    <w:rsid w:val="00FE4399"/>
    <w:rsid w:val="00FE4D78"/>
    <w:rsid w:val="00FE7A1C"/>
    <w:rsid w:val="00FF3F2D"/>
    <w:rsid w:val="01105E78"/>
    <w:rsid w:val="021470A9"/>
    <w:rsid w:val="021D4E33"/>
    <w:rsid w:val="026C6658"/>
    <w:rsid w:val="02D74E09"/>
    <w:rsid w:val="02F3281F"/>
    <w:rsid w:val="02FE5ACA"/>
    <w:rsid w:val="034D6F40"/>
    <w:rsid w:val="063B622E"/>
    <w:rsid w:val="069E12DF"/>
    <w:rsid w:val="07541C74"/>
    <w:rsid w:val="07726765"/>
    <w:rsid w:val="07B6542B"/>
    <w:rsid w:val="082604E5"/>
    <w:rsid w:val="08D96003"/>
    <w:rsid w:val="09677BBD"/>
    <w:rsid w:val="0A2D7414"/>
    <w:rsid w:val="0BC6413B"/>
    <w:rsid w:val="0C18328A"/>
    <w:rsid w:val="0C4364C9"/>
    <w:rsid w:val="0DAF1BFD"/>
    <w:rsid w:val="0EE549C6"/>
    <w:rsid w:val="0F7C6313"/>
    <w:rsid w:val="0FA5323F"/>
    <w:rsid w:val="0FF86697"/>
    <w:rsid w:val="102F23E1"/>
    <w:rsid w:val="10885892"/>
    <w:rsid w:val="10F5534B"/>
    <w:rsid w:val="11390185"/>
    <w:rsid w:val="11CC0A3D"/>
    <w:rsid w:val="12767E5C"/>
    <w:rsid w:val="128C40CC"/>
    <w:rsid w:val="13021242"/>
    <w:rsid w:val="13E20FDB"/>
    <w:rsid w:val="146F2AEE"/>
    <w:rsid w:val="14AB20A8"/>
    <w:rsid w:val="15351B32"/>
    <w:rsid w:val="15A75533"/>
    <w:rsid w:val="163E409E"/>
    <w:rsid w:val="169962B8"/>
    <w:rsid w:val="176F3881"/>
    <w:rsid w:val="177E245A"/>
    <w:rsid w:val="18031386"/>
    <w:rsid w:val="18204361"/>
    <w:rsid w:val="182E5407"/>
    <w:rsid w:val="186527EC"/>
    <w:rsid w:val="197138B6"/>
    <w:rsid w:val="19C579EF"/>
    <w:rsid w:val="19F75DCB"/>
    <w:rsid w:val="1A1102C5"/>
    <w:rsid w:val="1B482FE4"/>
    <w:rsid w:val="1B6733ED"/>
    <w:rsid w:val="1C7561F1"/>
    <w:rsid w:val="1CA5563A"/>
    <w:rsid w:val="1DB106CF"/>
    <w:rsid w:val="1E04292C"/>
    <w:rsid w:val="1EBA3159"/>
    <w:rsid w:val="200670C3"/>
    <w:rsid w:val="20127913"/>
    <w:rsid w:val="20875624"/>
    <w:rsid w:val="20C82EA2"/>
    <w:rsid w:val="20D109A1"/>
    <w:rsid w:val="21005859"/>
    <w:rsid w:val="218C210E"/>
    <w:rsid w:val="219A4AD0"/>
    <w:rsid w:val="21A6479C"/>
    <w:rsid w:val="21CB0332"/>
    <w:rsid w:val="220D713D"/>
    <w:rsid w:val="22326723"/>
    <w:rsid w:val="228A175B"/>
    <w:rsid w:val="23A70287"/>
    <w:rsid w:val="24C73079"/>
    <w:rsid w:val="25DD2803"/>
    <w:rsid w:val="29480D06"/>
    <w:rsid w:val="29907197"/>
    <w:rsid w:val="29EC6135"/>
    <w:rsid w:val="29FE1B21"/>
    <w:rsid w:val="2A4A5708"/>
    <w:rsid w:val="2ABD7AA9"/>
    <w:rsid w:val="2ADC4D91"/>
    <w:rsid w:val="2AED71A5"/>
    <w:rsid w:val="2B0E04DB"/>
    <w:rsid w:val="2B5F467A"/>
    <w:rsid w:val="2C487DB3"/>
    <w:rsid w:val="2C833B2B"/>
    <w:rsid w:val="2CCE211E"/>
    <w:rsid w:val="2CE4690B"/>
    <w:rsid w:val="2D146AC4"/>
    <w:rsid w:val="2D910CF0"/>
    <w:rsid w:val="2DE446E3"/>
    <w:rsid w:val="2E6A1BB3"/>
    <w:rsid w:val="2ED7061A"/>
    <w:rsid w:val="3046598B"/>
    <w:rsid w:val="30921A88"/>
    <w:rsid w:val="30D53A97"/>
    <w:rsid w:val="31C2331B"/>
    <w:rsid w:val="328C2A35"/>
    <w:rsid w:val="34333D55"/>
    <w:rsid w:val="34520FD8"/>
    <w:rsid w:val="34956186"/>
    <w:rsid w:val="34DF6B4E"/>
    <w:rsid w:val="34E620A5"/>
    <w:rsid w:val="35511358"/>
    <w:rsid w:val="35670CB5"/>
    <w:rsid w:val="35823011"/>
    <w:rsid w:val="36961B94"/>
    <w:rsid w:val="37A2398E"/>
    <w:rsid w:val="37AC7BAF"/>
    <w:rsid w:val="38F97561"/>
    <w:rsid w:val="39336B71"/>
    <w:rsid w:val="393968F2"/>
    <w:rsid w:val="3A1F7538"/>
    <w:rsid w:val="3A3474A7"/>
    <w:rsid w:val="3AB66107"/>
    <w:rsid w:val="3AB70242"/>
    <w:rsid w:val="3B0F7E9B"/>
    <w:rsid w:val="3BCF5209"/>
    <w:rsid w:val="3C86545D"/>
    <w:rsid w:val="3D2B2E4D"/>
    <w:rsid w:val="3D7C03C2"/>
    <w:rsid w:val="3E7358CD"/>
    <w:rsid w:val="3F352E90"/>
    <w:rsid w:val="3FF8597E"/>
    <w:rsid w:val="40FC225C"/>
    <w:rsid w:val="42102DC7"/>
    <w:rsid w:val="42322F67"/>
    <w:rsid w:val="429A18F7"/>
    <w:rsid w:val="43384AB5"/>
    <w:rsid w:val="43845C58"/>
    <w:rsid w:val="43B40BC0"/>
    <w:rsid w:val="458249CC"/>
    <w:rsid w:val="45CE7548"/>
    <w:rsid w:val="462E5E8C"/>
    <w:rsid w:val="465855B9"/>
    <w:rsid w:val="46A21EF2"/>
    <w:rsid w:val="474272B4"/>
    <w:rsid w:val="477E2A90"/>
    <w:rsid w:val="4A07374F"/>
    <w:rsid w:val="4A6170C8"/>
    <w:rsid w:val="4ADA6C68"/>
    <w:rsid w:val="4B367733"/>
    <w:rsid w:val="4D391E9F"/>
    <w:rsid w:val="4DF106EB"/>
    <w:rsid w:val="4E047FB6"/>
    <w:rsid w:val="4E3B1C1C"/>
    <w:rsid w:val="4EE21C29"/>
    <w:rsid w:val="4F8F50EB"/>
    <w:rsid w:val="509B7E77"/>
    <w:rsid w:val="50CC0A2C"/>
    <w:rsid w:val="50FE2B0A"/>
    <w:rsid w:val="51302F38"/>
    <w:rsid w:val="51422AD5"/>
    <w:rsid w:val="51CC01CE"/>
    <w:rsid w:val="52307A6D"/>
    <w:rsid w:val="52320C9C"/>
    <w:rsid w:val="52A4195C"/>
    <w:rsid w:val="52E32FD0"/>
    <w:rsid w:val="532B1DB6"/>
    <w:rsid w:val="538400E5"/>
    <w:rsid w:val="539634C4"/>
    <w:rsid w:val="54AA5B86"/>
    <w:rsid w:val="54B41496"/>
    <w:rsid w:val="55E541E9"/>
    <w:rsid w:val="56010D23"/>
    <w:rsid w:val="562C4DB2"/>
    <w:rsid w:val="58774A09"/>
    <w:rsid w:val="587E671E"/>
    <w:rsid w:val="5C4277D0"/>
    <w:rsid w:val="5D061EFA"/>
    <w:rsid w:val="5D483F73"/>
    <w:rsid w:val="5D5E144E"/>
    <w:rsid w:val="5D6130D1"/>
    <w:rsid w:val="5E5F5798"/>
    <w:rsid w:val="5EC32D3C"/>
    <w:rsid w:val="5F1E023B"/>
    <w:rsid w:val="5F511DCE"/>
    <w:rsid w:val="5FA12AA0"/>
    <w:rsid w:val="5FE67396"/>
    <w:rsid w:val="5FF245F8"/>
    <w:rsid w:val="60671954"/>
    <w:rsid w:val="60EE16EE"/>
    <w:rsid w:val="619453B4"/>
    <w:rsid w:val="633E4D10"/>
    <w:rsid w:val="63701DB5"/>
    <w:rsid w:val="63D56506"/>
    <w:rsid w:val="640605A7"/>
    <w:rsid w:val="64895EFE"/>
    <w:rsid w:val="64D657C2"/>
    <w:rsid w:val="64DC33CB"/>
    <w:rsid w:val="65344EE0"/>
    <w:rsid w:val="67AB0616"/>
    <w:rsid w:val="68360CAE"/>
    <w:rsid w:val="68E6216D"/>
    <w:rsid w:val="696D5E99"/>
    <w:rsid w:val="6B0E65C9"/>
    <w:rsid w:val="6BBF169A"/>
    <w:rsid w:val="6BE75BBC"/>
    <w:rsid w:val="6BFB2639"/>
    <w:rsid w:val="6C1C657C"/>
    <w:rsid w:val="6C671697"/>
    <w:rsid w:val="6CAB1A73"/>
    <w:rsid w:val="6D225D56"/>
    <w:rsid w:val="6D453BB8"/>
    <w:rsid w:val="6DB0399D"/>
    <w:rsid w:val="6E4B1F8E"/>
    <w:rsid w:val="6E805CB4"/>
    <w:rsid w:val="6EBD3355"/>
    <w:rsid w:val="6F7378D0"/>
    <w:rsid w:val="6FFB1A6E"/>
    <w:rsid w:val="715058D4"/>
    <w:rsid w:val="717C063E"/>
    <w:rsid w:val="71CF6A24"/>
    <w:rsid w:val="725D32F1"/>
    <w:rsid w:val="72B65DDE"/>
    <w:rsid w:val="72F26C37"/>
    <w:rsid w:val="74D93A21"/>
    <w:rsid w:val="750431B1"/>
    <w:rsid w:val="7611297A"/>
    <w:rsid w:val="772E0F58"/>
    <w:rsid w:val="77866A48"/>
    <w:rsid w:val="7906460D"/>
    <w:rsid w:val="79C408CF"/>
    <w:rsid w:val="79D713C5"/>
    <w:rsid w:val="7A165D8A"/>
    <w:rsid w:val="7A1A2287"/>
    <w:rsid w:val="7A4807F4"/>
    <w:rsid w:val="7A4F33F0"/>
    <w:rsid w:val="7B4A7063"/>
    <w:rsid w:val="7BDA6DC6"/>
    <w:rsid w:val="7BEB34E0"/>
    <w:rsid w:val="7C1508FC"/>
    <w:rsid w:val="7CAD5C17"/>
    <w:rsid w:val="7DB44545"/>
    <w:rsid w:val="7E4615C4"/>
    <w:rsid w:val="7E8014AB"/>
    <w:rsid w:val="7F436F15"/>
    <w:rsid w:val="7F605763"/>
    <w:rsid w:val="B7BB68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zh-CN" w:eastAsia="zh-CN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17">
    <w:name w:val="日期 Char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3409</Words>
  <Characters>3905</Characters>
  <Lines>11</Lines>
  <Paragraphs>3</Paragraphs>
  <TotalTime>0</TotalTime>
  <ScaleCrop>false</ScaleCrop>
  <LinksUpToDate>false</LinksUpToDate>
  <CharactersWithSpaces>3966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2018-01-30T14:34:00Z</dcterms:created>
  <dc:creator>Administrator</dc:creator>
  <cp:lastModifiedBy>吴昀</cp:lastModifiedBy>
  <cp:lastPrinted>2023-02-24T17:33:00Z</cp:lastPrinted>
  <dcterms:modified xsi:type="dcterms:W3CDTF">2024-02-02T09:58:12Z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589F511BCD544F3EA547C8ECB36A7080_12</vt:lpwstr>
  </property>
</Properties>
</file>