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bottom w:val="none" w:color="auto" w:sz="0" w:space="0"/>
        </w:pBdr>
        <w:shd w:val="clear" w:fill="FFFFFF"/>
        <w:spacing w:before="0" w:beforeAutospacing="0" w:after="0" w:afterAutospacing="0" w:line="500" w:lineRule="atLeast"/>
        <w:ind w:left="0" w:firstLine="0"/>
        <w:jc w:val="center"/>
        <w:rPr>
          <w:rFonts w:ascii="微软雅黑" w:hAnsi="微软雅黑" w:eastAsia="微软雅黑" w:cs="微软雅黑"/>
          <w:b w:val="0"/>
          <w:i w:val="0"/>
          <w:caps w:val="0"/>
          <w:color w:val="0B3C61"/>
          <w:spacing w:val="0"/>
          <w:sz w:val="36"/>
          <w:szCs w:val="36"/>
        </w:rPr>
      </w:pPr>
      <w:r>
        <w:rPr>
          <w:rFonts w:hint="eastAsia" w:ascii="微软雅黑" w:hAnsi="微软雅黑" w:eastAsia="微软雅黑" w:cs="微软雅黑"/>
          <w:b w:val="0"/>
          <w:i w:val="0"/>
          <w:caps w:val="0"/>
          <w:color w:val="0B3C61"/>
          <w:spacing w:val="0"/>
          <w:sz w:val="36"/>
          <w:szCs w:val="36"/>
          <w:shd w:val="clear" w:fill="FFFFFF"/>
        </w:rPr>
        <w:t>关于转融通证券出借涉及证券持有期计算有关事项的通知</w:t>
      </w:r>
    </w:p>
    <w:p>
      <w:pPr>
        <w:jc w:val="center"/>
        <w:rPr>
          <w:sz w:val="28"/>
          <w:szCs w:val="36"/>
        </w:rPr>
      </w:pPr>
      <w:r>
        <w:rPr>
          <w:rFonts w:hint="eastAsia"/>
          <w:sz w:val="28"/>
          <w:szCs w:val="36"/>
        </w:rPr>
        <w:t>上证发〔2020〕29号</w:t>
      </w:r>
    </w:p>
    <w:p>
      <w:pPr>
        <w:rPr>
          <w:rFonts w:hint="eastAsia"/>
          <w:sz w:val="28"/>
          <w:szCs w:val="36"/>
        </w:rPr>
      </w:pPr>
      <w:r>
        <w:rPr>
          <w:rFonts w:hint="eastAsia"/>
          <w:sz w:val="28"/>
          <w:szCs w:val="36"/>
        </w:rPr>
        <w:t>　　各市场参与人：</w:t>
      </w:r>
      <w:bookmarkStart w:id="0" w:name="_GoBack"/>
      <w:bookmarkEnd w:id="0"/>
    </w:p>
    <w:p>
      <w:pPr>
        <w:rPr>
          <w:rFonts w:hint="eastAsia"/>
          <w:sz w:val="28"/>
          <w:szCs w:val="36"/>
        </w:rPr>
      </w:pPr>
      <w:r>
        <w:rPr>
          <w:rFonts w:hint="eastAsia"/>
          <w:sz w:val="28"/>
          <w:szCs w:val="36"/>
        </w:rPr>
        <w:t>　　为进一步明确证券出借业务具体要求，根据《上海证券交易所转融通证券出借交易实施办法（试行）》（上证交字〔2012〕129号）和《上海证券交易所 中国证券金融股份有限公司 中国证券登记结算有限责任公司科创板转融通证券出借和转融券业务实施细则》（上证发〔2019〕54号），经中国证监会批准，上海证券交易所就转融通证券出借涉及证券持有期计算有关事项明确如下：证券出借人参与转融通证券出借业务的，其持有证券的持有期计算不因出借而受影响。</w:t>
      </w:r>
    </w:p>
    <w:p>
      <w:pPr>
        <w:rPr>
          <w:rFonts w:hint="eastAsia"/>
          <w:sz w:val="28"/>
          <w:szCs w:val="36"/>
        </w:rPr>
      </w:pPr>
      <w:r>
        <w:rPr>
          <w:rFonts w:hint="eastAsia"/>
          <w:sz w:val="28"/>
          <w:szCs w:val="36"/>
        </w:rPr>
        <w:t>　　特此通知。</w:t>
      </w:r>
    </w:p>
    <w:p>
      <w:pPr>
        <w:jc w:val="right"/>
        <w:rPr>
          <w:rFonts w:hint="eastAsia"/>
          <w:sz w:val="28"/>
          <w:szCs w:val="36"/>
        </w:rPr>
      </w:pPr>
      <w:r>
        <w:rPr>
          <w:rFonts w:hint="eastAsia"/>
          <w:sz w:val="28"/>
          <w:szCs w:val="36"/>
        </w:rPr>
        <w:t>　　上海证券交易所</w:t>
      </w:r>
    </w:p>
    <w:p>
      <w:pPr>
        <w:jc w:val="right"/>
        <w:rPr>
          <w:rFonts w:hint="eastAsia"/>
          <w:sz w:val="28"/>
          <w:szCs w:val="36"/>
        </w:rPr>
      </w:pPr>
      <w:r>
        <w:rPr>
          <w:rFonts w:hint="eastAsia"/>
          <w:sz w:val="28"/>
          <w:szCs w:val="36"/>
        </w:rPr>
        <w:t>　　二〇二〇年四月十七日</w:t>
      </w:r>
    </w:p>
    <w:p>
      <w:pPr>
        <w:jc w:val="right"/>
        <w:rPr>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3A6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KY༄</cp:lastModifiedBy>
  <dcterms:modified xsi:type="dcterms:W3CDTF">2020-06-11T11:23:50Z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