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附件3:</w:t>
      </w:r>
    </w:p>
    <w:p>
      <w:pPr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深证通金融数据交换平台转融通业务上线操作指引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独立出借人通过深圳证券通信有限公司网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办理金融数据交换平台转融通业务上线的流程如下：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1.用户登录</w:t>
      </w:r>
    </w:p>
    <w:p>
      <w:pPr>
        <w:ind w:left="958" w:leftChars="30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登录深圳证券通信有限公司网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站：</w:t>
      </w:r>
    </w:p>
    <w:p>
      <w:pPr>
        <w:ind w:firstLine="630" w:firstLineChars="3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"https://biz.sscc.com/"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https://biz.sscc.com/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用户登录：已有u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serID的用户初次使用本站办理业务，需要在本站注册。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注册：点击，链接至帐号注册界面。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登录成功后开始办理相关业务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2.选择业务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进入用户中心，选择业务申请开始办理业务。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选择转融通上线办理开通FDEP消息传输系统。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选择文件传输上线办理开通FDEP文件传输系统。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中证金融的FDEP文件小站号：R_ZHENGJIN01。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中证金融的FDEP MR小站号：R_ZHENGJIN01。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666666"/>
          <w:kern w:val="0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6229350" cy="1846580"/>
            <wp:effectExtent l="0" t="0" r="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3.填写信息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填写并提交业务办理订单，提交申请后将有短信通知申请人订单受理进度。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4.对端确认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业务对端登录平台对订单进行确认，确认结果将有短信通知申请人及对端。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5.业务审核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FDEP工作人员将对业务办理订单进行审核。审核结果将有短信通知申请人及对端。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6.运维配置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FDEP运维工程师对业务订单进行配置操作。每个工作日11：00前提交并完成审核的订单将于当天闭市后进行配置操作，当日11：00后完成审核的订单将于第二个工作日闭市后进行配置。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7.业务上线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8.深圳证券通信有限公司联系方式：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运维支持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0755-23826278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7x24小时运维热线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0755-83182222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运维E-mail :</w:t>
      </w:r>
      <w:r>
        <w:rPr>
          <w:rFonts w:eastAsia="仿宋_GB2312" w:cs="Calibri"/>
          <w:sz w:val="32"/>
          <w:szCs w:val="32"/>
        </w:rPr>
        <w:t>  </w:t>
      </w:r>
      <w:r>
        <w:fldChar w:fldCharType="begin"/>
      </w:r>
      <w:r>
        <w:instrText xml:space="preserve"> HYPERLINK "mailto:fdep@sscc.com"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fdep@sscc.com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仿真测试支持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0755-23826503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业务办理咨询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0755-23826196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8E"/>
    <w:rsid w:val="00276F8E"/>
    <w:rsid w:val="004917C9"/>
    <w:rsid w:val="004C5680"/>
    <w:rsid w:val="00561E60"/>
    <w:rsid w:val="00691E98"/>
    <w:rsid w:val="006D76FF"/>
    <w:rsid w:val="00795F2E"/>
    <w:rsid w:val="0080106B"/>
    <w:rsid w:val="00E2143E"/>
    <w:rsid w:val="00EA4653"/>
    <w:rsid w:val="6B2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2019-07-02T15:43:00Z</dcterms:created>
  <dc:creator>西湖 莼菜</dc:creator>
  <cp:lastModifiedBy>Acer</cp:lastModifiedBy>
  <dcterms:modified xsi:type="dcterms:W3CDTF">2019-07-03T10:41:34Z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